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1C747">
      <w:pPr>
        <w:spacing w:before="156" w:beforeLines="50" w:after="156" w:afterLines="50"/>
        <w:jc w:val="center"/>
        <w:rPr>
          <w:rFonts w:ascii="黑体" w:hAnsi="黑体" w:eastAsia="黑体" w:cs="黑体"/>
          <w:sz w:val="36"/>
          <w:szCs w:val="44"/>
        </w:rPr>
      </w:pPr>
      <w:r>
        <w:rPr>
          <w:rFonts w:hint="eastAsia" w:ascii="黑体" w:hAnsi="黑体" w:eastAsia="黑体" w:cs="黑体"/>
          <w:sz w:val="36"/>
          <w:szCs w:val="44"/>
        </w:rPr>
        <w:t>团体标准</w:t>
      </w:r>
      <w:bookmarkStart w:id="0" w:name="_GoBack"/>
      <w:r>
        <w:rPr>
          <w:rFonts w:hint="eastAsia" w:ascii="黑体" w:hAnsi="黑体" w:eastAsia="黑体" w:cs="黑体"/>
          <w:sz w:val="36"/>
          <w:szCs w:val="44"/>
        </w:rPr>
        <w:t xml:space="preserve">《江西绿色生态 </w:t>
      </w:r>
      <w:r>
        <w:rPr>
          <w:rFonts w:hint="eastAsia" w:ascii="黑体" w:hAnsi="黑体" w:eastAsia="黑体" w:cs="黑体"/>
          <w:sz w:val="36"/>
          <w:szCs w:val="44"/>
          <w:lang w:val="en-US" w:eastAsia="zh-CN"/>
        </w:rPr>
        <w:t>可躺式午休课桌椅</w:t>
      </w:r>
      <w:r>
        <w:rPr>
          <w:rFonts w:hint="eastAsia" w:ascii="黑体" w:hAnsi="黑体" w:eastAsia="黑体" w:cs="黑体"/>
          <w:sz w:val="36"/>
          <w:szCs w:val="44"/>
        </w:rPr>
        <w:t>》</w:t>
      </w:r>
    </w:p>
    <w:p w14:paraId="44D124E1">
      <w:pPr>
        <w:spacing w:before="156" w:beforeLines="50" w:after="156" w:afterLines="50"/>
        <w:jc w:val="center"/>
        <w:rPr>
          <w:rFonts w:ascii="黑体" w:hAnsi="黑体" w:eastAsia="黑体" w:cs="黑体"/>
          <w:sz w:val="36"/>
          <w:szCs w:val="44"/>
        </w:rPr>
      </w:pPr>
      <w:r>
        <w:rPr>
          <w:rFonts w:hint="eastAsia" w:ascii="黑体" w:hAnsi="黑体" w:eastAsia="黑体" w:cs="黑体"/>
          <w:sz w:val="36"/>
          <w:szCs w:val="44"/>
        </w:rPr>
        <w:t>编制说明</w:t>
      </w:r>
      <w:bookmarkEnd w:id="0"/>
    </w:p>
    <w:p w14:paraId="31665143">
      <w:pPr>
        <w:pStyle w:val="7"/>
        <w:numPr>
          <w:ilvl w:val="0"/>
          <w:numId w:val="2"/>
        </w:numPr>
        <w:ind w:firstLine="640"/>
        <w:rPr>
          <w:rFonts w:hint="default" w:ascii="黑体" w:hAnsi="黑体" w:eastAsia="黑体" w:cs="黑体"/>
          <w:sz w:val="32"/>
          <w:szCs w:val="40"/>
        </w:rPr>
      </w:pPr>
      <w:r>
        <w:rPr>
          <w:rFonts w:ascii="黑体" w:hAnsi="黑体" w:eastAsia="黑体" w:cs="黑体"/>
          <w:sz w:val="32"/>
          <w:szCs w:val="40"/>
        </w:rPr>
        <w:t>项目来源</w:t>
      </w:r>
    </w:p>
    <w:p w14:paraId="36F728A1">
      <w:pPr>
        <w:pStyle w:val="7"/>
        <w:spacing w:line="360" w:lineRule="auto"/>
        <w:ind w:firstLine="640"/>
        <w:rPr>
          <w:rFonts w:hint="default"/>
          <w:sz w:val="28"/>
          <w:szCs w:val="24"/>
        </w:rPr>
      </w:pPr>
      <w:r>
        <w:rPr>
          <w:rFonts w:ascii="仿宋" w:hAnsi="仿宋" w:eastAsia="仿宋" w:cs="仿宋"/>
          <w:sz w:val="32"/>
          <w:szCs w:val="28"/>
        </w:rPr>
        <w:t>为引领我省</w:t>
      </w:r>
      <w:r>
        <w:rPr>
          <w:rFonts w:hint="eastAsia" w:ascii="仿宋" w:hAnsi="仿宋" w:eastAsia="仿宋" w:cs="仿宋"/>
          <w:sz w:val="32"/>
          <w:szCs w:val="28"/>
        </w:rPr>
        <w:t>可躺式午休课桌椅</w:t>
      </w:r>
      <w:r>
        <w:rPr>
          <w:rFonts w:ascii="仿宋" w:hAnsi="仿宋" w:eastAsia="仿宋" w:cs="仿宋"/>
          <w:sz w:val="32"/>
          <w:szCs w:val="28"/>
        </w:rPr>
        <w:t xml:space="preserve">产业高质量发展，填补“江西绿色生态 </w:t>
      </w:r>
      <w:r>
        <w:rPr>
          <w:rFonts w:hint="eastAsia" w:ascii="仿宋" w:hAnsi="仿宋" w:eastAsia="仿宋" w:cs="仿宋"/>
          <w:sz w:val="32"/>
          <w:szCs w:val="28"/>
        </w:rPr>
        <w:t>可躺式午休课桌椅</w:t>
      </w:r>
      <w:r>
        <w:rPr>
          <w:rFonts w:ascii="仿宋" w:hAnsi="仿宋" w:eastAsia="仿宋" w:cs="仿宋"/>
          <w:sz w:val="32"/>
          <w:szCs w:val="28"/>
        </w:rPr>
        <w:t>”的标准空白，支撑我省</w:t>
      </w:r>
      <w:r>
        <w:rPr>
          <w:rFonts w:hint="eastAsia" w:ascii="仿宋" w:hAnsi="仿宋" w:eastAsia="仿宋" w:cs="仿宋"/>
          <w:sz w:val="32"/>
          <w:szCs w:val="28"/>
        </w:rPr>
        <w:t>可躺式午休课桌椅</w:t>
      </w:r>
      <w:r>
        <w:rPr>
          <w:rFonts w:ascii="仿宋" w:hAnsi="仿宋" w:eastAsia="仿宋" w:cs="仿宋"/>
          <w:sz w:val="32"/>
          <w:szCs w:val="28"/>
        </w:rPr>
        <w:t>企业开展“江西绿色生态”品牌认证，由江西绿色生态品牌建设促进会提出并制定该标准。</w:t>
      </w:r>
    </w:p>
    <w:p w14:paraId="4F8B7717">
      <w:pPr>
        <w:ind w:firstLine="640" w:firstLineChars="200"/>
        <w:jc w:val="left"/>
        <w:rPr>
          <w:rFonts w:ascii="黑体" w:hAnsi="黑体" w:eastAsia="黑体" w:cs="黑体"/>
          <w:sz w:val="32"/>
          <w:szCs w:val="40"/>
        </w:rPr>
      </w:pPr>
      <w:r>
        <w:rPr>
          <w:rFonts w:hint="eastAsia" w:ascii="黑体" w:hAnsi="黑体" w:eastAsia="黑体" w:cs="黑体"/>
          <w:sz w:val="32"/>
          <w:szCs w:val="40"/>
        </w:rPr>
        <w:t>二、起草小组</w:t>
      </w:r>
    </w:p>
    <w:p w14:paraId="22CB02D7">
      <w:pPr>
        <w:pStyle w:val="7"/>
        <w:ind w:firstLine="640"/>
        <w:rPr>
          <w:rFonts w:hint="default" w:ascii="仿宋" w:hAnsi="仿宋" w:eastAsia="仿宋" w:cs="仿宋"/>
          <w:sz w:val="32"/>
          <w:szCs w:val="32"/>
        </w:rPr>
      </w:pPr>
      <w:r>
        <w:rPr>
          <w:rFonts w:ascii="仿宋" w:hAnsi="仿宋" w:eastAsia="仿宋" w:cs="仿宋"/>
          <w:sz w:val="32"/>
          <w:szCs w:val="32"/>
        </w:rPr>
        <w:t>该标准由</w:t>
      </w:r>
      <w:r>
        <w:rPr>
          <w:rFonts w:ascii="仿宋" w:hAnsi="仿宋" w:eastAsia="仿宋" w:cs="仿宋"/>
          <w:sz w:val="32"/>
          <w:szCs w:val="28"/>
        </w:rPr>
        <w:t>江西绿色生态品牌建设促进会</w:t>
      </w:r>
      <w:r>
        <w:rPr>
          <w:rFonts w:ascii="仿宋" w:hAnsi="仿宋" w:eastAsia="仿宋" w:cs="仿宋"/>
          <w:sz w:val="32"/>
          <w:szCs w:val="32"/>
        </w:rPr>
        <w:t>提出并归口。标准起草小组主要由</w:t>
      </w:r>
      <w:r>
        <w:rPr>
          <w:rFonts w:hint="eastAsia" w:ascii="仿宋" w:hAnsi="仿宋" w:eastAsia="仿宋" w:cs="仿宋"/>
          <w:sz w:val="32"/>
          <w:szCs w:val="32"/>
          <w:lang w:val="en-US" w:eastAsia="zh-CN"/>
        </w:rPr>
        <w:t>江西省检验检测认证总院工业产品检验检测院、</w:t>
      </w:r>
      <w:r>
        <w:rPr>
          <w:rFonts w:ascii="仿宋" w:hAnsi="仿宋" w:eastAsia="仿宋" w:cs="仿宋"/>
          <w:sz w:val="32"/>
          <w:szCs w:val="32"/>
        </w:rPr>
        <w:t>南城县市场监督管理局、江西省南城县校具商会、江西省质量和标准化研究院、</w:t>
      </w:r>
      <w:r>
        <w:rPr>
          <w:rFonts w:hint="eastAsia" w:ascii="仿宋" w:hAnsi="仿宋" w:eastAsia="仿宋" w:cs="仿宋"/>
          <w:sz w:val="32"/>
          <w:szCs w:val="32"/>
          <w:lang w:val="en-US" w:eastAsia="zh-CN"/>
        </w:rPr>
        <w:t>X</w:t>
      </w:r>
      <w:r>
        <w:rPr>
          <w:rFonts w:ascii="仿宋" w:hAnsi="仿宋" w:eastAsia="仿宋" w:cs="仿宋"/>
          <w:sz w:val="32"/>
          <w:szCs w:val="32"/>
        </w:rPr>
        <w:t>有限公司、</w:t>
      </w:r>
      <w:r>
        <w:rPr>
          <w:rFonts w:hint="eastAsia" w:ascii="仿宋" w:hAnsi="仿宋" w:eastAsia="仿宋" w:cs="仿宋"/>
          <w:sz w:val="32"/>
          <w:szCs w:val="32"/>
          <w:lang w:val="en-US" w:eastAsia="zh-CN"/>
        </w:rPr>
        <w:t xml:space="preserve"> X</w:t>
      </w:r>
      <w:r>
        <w:rPr>
          <w:rFonts w:ascii="仿宋" w:hAnsi="仿宋" w:eastAsia="仿宋" w:cs="仿宋"/>
          <w:sz w:val="32"/>
          <w:szCs w:val="32"/>
        </w:rPr>
        <w:t>有限公司组成。</w:t>
      </w:r>
    </w:p>
    <w:p w14:paraId="12C5B70E">
      <w:pPr>
        <w:ind w:left="420" w:leftChars="200" w:firstLine="320" w:firstLineChars="100"/>
        <w:rPr>
          <w:rFonts w:ascii="黑体" w:hAnsi="黑体" w:eastAsia="黑体" w:cs="黑体"/>
          <w:sz w:val="32"/>
          <w:szCs w:val="40"/>
        </w:rPr>
      </w:pPr>
      <w:r>
        <w:rPr>
          <w:rFonts w:hint="eastAsia" w:ascii="黑体" w:hAnsi="黑体" w:eastAsia="黑体" w:cs="黑体"/>
          <w:sz w:val="32"/>
          <w:szCs w:val="40"/>
        </w:rPr>
        <w:t>三、标准先进性分析</w:t>
      </w:r>
    </w:p>
    <w:p w14:paraId="4353CD5E">
      <w:pPr>
        <w:ind w:firstLine="640" w:firstLineChars="200"/>
        <w:rPr>
          <w:rFonts w:ascii="仿宋" w:hAnsi="仿宋" w:eastAsia="仿宋" w:cs="仿宋"/>
          <w:sz w:val="32"/>
          <w:szCs w:val="40"/>
        </w:rPr>
      </w:pPr>
      <w:r>
        <w:rPr>
          <w:rFonts w:hint="eastAsia" w:ascii="仿宋" w:hAnsi="仿宋" w:eastAsia="仿宋" w:cs="仿宋"/>
          <w:sz w:val="32"/>
          <w:szCs w:val="40"/>
        </w:rPr>
        <w:t>本标准遵循DB36/T 1138-2019《“江西绿色生态”品牌评价要求》的要求，从资源节约、环境保护、生态协同、质量引领四个一级指标入手，设计对应的二级指标。其中，“质量引领”属性的二级指标来源于相关企业的可躺式午休课桌椅产品多次检测结果，通过比对国家标准</w:t>
      </w:r>
      <w:r>
        <w:rPr>
          <w:rFonts w:hint="eastAsia" w:ascii="仿宋" w:hAnsi="仿宋" w:eastAsia="仿宋" w:cs="仿宋"/>
          <w:sz w:val="32"/>
          <w:szCs w:val="40"/>
          <w:lang w:eastAsia="zh-CN"/>
        </w:rPr>
        <w:t>、</w:t>
      </w:r>
      <w:r>
        <w:rPr>
          <w:rFonts w:hint="eastAsia" w:ascii="仿宋" w:hAnsi="仿宋" w:eastAsia="仿宋" w:cs="仿宋"/>
          <w:sz w:val="32"/>
          <w:szCs w:val="40"/>
        </w:rPr>
        <w:t>行业标准</w:t>
      </w:r>
      <w:r>
        <w:rPr>
          <w:rFonts w:hint="eastAsia" w:ascii="仿宋" w:hAnsi="仿宋" w:eastAsia="仿宋" w:cs="仿宋"/>
          <w:sz w:val="32"/>
          <w:szCs w:val="40"/>
          <w:lang w:val="en-US" w:eastAsia="zh-CN"/>
        </w:rPr>
        <w:t>和团体标准</w:t>
      </w:r>
      <w:r>
        <w:rPr>
          <w:rFonts w:hint="eastAsia" w:ascii="仿宋" w:hAnsi="仿宋" w:eastAsia="仿宋" w:cs="仿宋"/>
          <w:sz w:val="32"/>
          <w:szCs w:val="40"/>
        </w:rPr>
        <w:t>，结合省内相关企业的意见和生产现状总结出可躺式午休课桌椅产品质量优势和指标先进性。</w:t>
      </w:r>
    </w:p>
    <w:p w14:paraId="231FA784">
      <w:pPr>
        <w:ind w:firstLine="643" w:firstLineChars="200"/>
        <w:rPr>
          <w:rFonts w:ascii="黑体" w:hAnsi="黑体" w:eastAsia="黑体" w:cs="黑体"/>
          <w:sz w:val="32"/>
          <w:szCs w:val="40"/>
        </w:rPr>
      </w:pPr>
      <w:r>
        <w:rPr>
          <w:rFonts w:hint="eastAsia" w:ascii="黑体" w:hAnsi="黑体" w:eastAsia="黑体" w:cs="黑体"/>
          <w:b/>
          <w:bCs/>
          <w:sz w:val="32"/>
          <w:szCs w:val="40"/>
        </w:rPr>
        <w:t>3.1 质量引领属性</w:t>
      </w:r>
    </w:p>
    <w:p w14:paraId="46E40B03">
      <w:pPr>
        <w:pStyle w:val="7"/>
        <w:ind w:firstLine="640"/>
        <w:rPr>
          <w:rFonts w:hint="default" w:eastAsia="仿宋"/>
          <w:b/>
          <w:bCs/>
          <w:sz w:val="28"/>
          <w:szCs w:val="36"/>
        </w:rPr>
      </w:pPr>
      <w:r>
        <w:rPr>
          <w:rFonts w:ascii="仿宋" w:hAnsi="仿宋" w:eastAsia="仿宋" w:cs="仿宋"/>
          <w:sz w:val="32"/>
          <w:szCs w:val="32"/>
        </w:rPr>
        <w:t>本文件相较于国家标准的指标水平如下:</w:t>
      </w:r>
      <w:r>
        <w:rPr>
          <w:rFonts w:ascii="仿宋" w:hAnsi="仿宋" w:eastAsia="仿宋" w:cs="仿宋"/>
          <w:b/>
          <w:bCs/>
          <w:sz w:val="32"/>
          <w:szCs w:val="40"/>
        </w:rPr>
        <w:t>第一</w:t>
      </w:r>
      <w:r>
        <w:rPr>
          <w:rFonts w:ascii="仿宋" w:hAnsi="仿宋" w:eastAsia="仿宋" w:cs="仿宋"/>
          <w:sz w:val="32"/>
          <w:szCs w:val="40"/>
        </w:rPr>
        <w:t>，</w:t>
      </w:r>
      <w:r>
        <w:rPr>
          <w:rFonts w:ascii="仿宋" w:hAnsi="仿宋" w:eastAsia="仿宋" w:cs="仿宋"/>
          <w:sz w:val="32"/>
          <w:szCs w:val="32"/>
        </w:rPr>
        <w:t>“江西绿色生态”</w:t>
      </w:r>
      <w:r>
        <w:rPr>
          <w:rFonts w:hint="eastAsia" w:ascii="仿宋" w:hAnsi="仿宋" w:eastAsia="仿宋" w:cs="仿宋"/>
          <w:sz w:val="32"/>
          <w:szCs w:val="32"/>
        </w:rPr>
        <w:t>可躺式午休课桌椅</w:t>
      </w:r>
      <w:r>
        <w:rPr>
          <w:rFonts w:ascii="仿宋" w:hAnsi="仿宋" w:eastAsia="仿宋" w:cs="仿宋"/>
          <w:sz w:val="32"/>
          <w:szCs w:val="32"/>
        </w:rPr>
        <w:t>的有害物质及寿命应符合国家</w:t>
      </w:r>
      <w:r>
        <w:rPr>
          <w:rFonts w:hint="default" w:ascii="仿宋" w:hAnsi="仿宋" w:eastAsia="仿宋" w:cs="仿宋"/>
          <w:sz w:val="32"/>
          <w:szCs w:val="32"/>
        </w:rPr>
        <w:t>标准</w:t>
      </w:r>
      <w:r>
        <w:rPr>
          <w:rFonts w:ascii="仿宋" w:hAnsi="仿宋" w:eastAsia="仿宋" w:cs="仿宋"/>
          <w:sz w:val="32"/>
          <w:szCs w:val="32"/>
        </w:rPr>
        <w:t>GB/T 35607《绿色产品评价 家具》的要求；</w:t>
      </w:r>
      <w:r>
        <w:rPr>
          <w:rFonts w:ascii="仿宋" w:hAnsi="仿宋" w:eastAsia="仿宋" w:cs="仿宋"/>
          <w:b/>
          <w:bCs/>
          <w:sz w:val="32"/>
          <w:szCs w:val="32"/>
        </w:rPr>
        <w:t>第二</w:t>
      </w:r>
      <w:r>
        <w:rPr>
          <w:rFonts w:ascii="仿宋" w:hAnsi="仿宋" w:eastAsia="仿宋" w:cs="仿宋"/>
          <w:sz w:val="32"/>
          <w:szCs w:val="32"/>
        </w:rPr>
        <w:t>，“江西绿色生态”</w:t>
      </w:r>
      <w:r>
        <w:rPr>
          <w:rFonts w:hint="eastAsia" w:ascii="仿宋" w:hAnsi="仿宋" w:eastAsia="仿宋" w:cs="仿宋"/>
          <w:sz w:val="32"/>
          <w:szCs w:val="32"/>
        </w:rPr>
        <w:t>可躺式午休课桌椅</w:t>
      </w:r>
      <w:r>
        <w:rPr>
          <w:rFonts w:hint="eastAsia" w:ascii="仿宋" w:hAnsi="仿宋" w:eastAsia="仿宋" w:cs="仿宋"/>
          <w:sz w:val="32"/>
          <w:szCs w:val="32"/>
          <w:lang w:val="en-US" w:eastAsia="zh-CN"/>
        </w:rPr>
        <w:t>塑料件有害物质含量</w:t>
      </w:r>
      <w:r>
        <w:rPr>
          <w:rFonts w:ascii="仿宋" w:hAnsi="仿宋" w:eastAsia="仿宋" w:cs="仿宋"/>
          <w:sz w:val="32"/>
          <w:szCs w:val="32"/>
        </w:rPr>
        <w:t>应符合国家标准</w:t>
      </w:r>
      <w:r>
        <w:rPr>
          <w:rFonts w:hint="eastAsia" w:ascii="仿宋" w:hAnsi="仿宋" w:eastAsia="仿宋" w:cs="仿宋"/>
          <w:sz w:val="32"/>
          <w:szCs w:val="32"/>
          <w:lang w:val="en-US" w:eastAsia="zh-CN"/>
        </w:rPr>
        <w:t>GB 28481</w:t>
      </w:r>
      <w:r>
        <w:rPr>
          <w:rFonts w:ascii="仿宋" w:hAnsi="仿宋" w:eastAsia="仿宋" w:cs="仿宋"/>
          <w:sz w:val="32"/>
          <w:szCs w:val="32"/>
        </w:rPr>
        <w:t>《</w:t>
      </w:r>
      <w:r>
        <w:rPr>
          <w:rFonts w:hint="eastAsia" w:ascii="仿宋" w:hAnsi="仿宋" w:eastAsia="仿宋" w:cs="仿宋"/>
          <w:sz w:val="32"/>
          <w:szCs w:val="32"/>
          <w:lang w:val="en-US" w:eastAsia="zh-CN"/>
        </w:rPr>
        <w:t>塑料家具有害物质限量</w:t>
      </w:r>
      <w:r>
        <w:rPr>
          <w:rFonts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三</w:t>
      </w:r>
      <w:r>
        <w:rPr>
          <w:rFonts w:hint="eastAsia" w:ascii="仿宋" w:hAnsi="仿宋" w:eastAsia="仿宋" w:cs="仿宋"/>
          <w:sz w:val="32"/>
          <w:szCs w:val="32"/>
          <w:lang w:val="en-US" w:eastAsia="zh-CN"/>
        </w:rPr>
        <w:t>，针对午休课椅专门的国家（行业）标准还未出台，暂时选用中国教育装备行业协会2024年发布的团体标准T/JYBZ 031-2024《中小学生午休课椅》中午休课椅的特定指标（搁腿耐久性、角度调节机构耐久性等）</w:t>
      </w:r>
      <w:r>
        <w:rPr>
          <w:rFonts w:ascii="仿宋" w:hAnsi="仿宋" w:eastAsia="仿宋" w:cs="仿宋"/>
          <w:sz w:val="32"/>
          <w:szCs w:val="32"/>
        </w:rPr>
        <w:t>。详见表1。</w:t>
      </w:r>
    </w:p>
    <w:p w14:paraId="35721A76">
      <w:pPr>
        <w:jc w:val="center"/>
        <w:rPr>
          <w:rFonts w:ascii="黑体" w:hAnsi="黑体" w:eastAsia="黑体" w:cs="黑体"/>
          <w:sz w:val="28"/>
          <w:szCs w:val="36"/>
        </w:rPr>
      </w:pPr>
      <w:r>
        <w:rPr>
          <w:rFonts w:hint="eastAsia" w:ascii="黑体" w:hAnsi="黑体" w:eastAsia="黑体" w:cs="黑体"/>
          <w:sz w:val="28"/>
          <w:szCs w:val="36"/>
        </w:rPr>
        <w:t>表1 “江西绿色生态”家用学习桌的指标先进性分析</w:t>
      </w:r>
    </w:p>
    <w:tbl>
      <w:tblPr>
        <w:tblStyle w:val="5"/>
        <w:tblW w:w="596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29"/>
        <w:gridCol w:w="1477"/>
        <w:gridCol w:w="1390"/>
        <w:gridCol w:w="1671"/>
        <w:gridCol w:w="1597"/>
        <w:gridCol w:w="1738"/>
        <w:gridCol w:w="1229"/>
      </w:tblGrid>
      <w:tr w14:paraId="1D1351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1" w:hRule="atLeast"/>
          <w:jc w:val="center"/>
        </w:trPr>
        <w:tc>
          <w:tcPr>
            <w:tcW w:w="1861" w:type="pct"/>
            <w:gridSpan w:val="3"/>
            <w:shd w:val="clear" w:color="auto" w:fill="auto"/>
            <w:vAlign w:val="center"/>
          </w:tcPr>
          <w:p w14:paraId="57D56A8D">
            <w:pPr>
              <w:pStyle w:val="10"/>
              <w:widowControl w:val="0"/>
              <w:rPr>
                <w:rFonts w:hint="default"/>
                <w:kern w:val="2"/>
                <w:szCs w:val="22"/>
              </w:rPr>
            </w:pPr>
            <w:r>
              <w:rPr>
                <w:kern w:val="2"/>
                <w:szCs w:val="22"/>
              </w:rPr>
              <w:t>检测项目</w:t>
            </w:r>
          </w:p>
        </w:tc>
        <w:tc>
          <w:tcPr>
            <w:tcW w:w="841" w:type="pct"/>
            <w:shd w:val="clear" w:color="auto" w:fill="auto"/>
            <w:vAlign w:val="center"/>
          </w:tcPr>
          <w:p w14:paraId="215A588B">
            <w:pPr>
              <w:pStyle w:val="10"/>
              <w:widowControl w:val="0"/>
              <w:rPr>
                <w:rFonts w:hint="default"/>
                <w:kern w:val="2"/>
                <w:szCs w:val="22"/>
              </w:rPr>
            </w:pPr>
            <w:r>
              <w:rPr>
                <w:kern w:val="2"/>
                <w:szCs w:val="22"/>
              </w:rPr>
              <w:t>标准要求</w:t>
            </w:r>
          </w:p>
        </w:tc>
        <w:tc>
          <w:tcPr>
            <w:tcW w:w="803" w:type="pct"/>
            <w:shd w:val="clear" w:color="auto" w:fill="auto"/>
            <w:vAlign w:val="center"/>
          </w:tcPr>
          <w:p w14:paraId="0D8DC780">
            <w:pPr>
              <w:pStyle w:val="10"/>
              <w:widowControl w:val="0"/>
              <w:rPr>
                <w:rFonts w:hint="default"/>
                <w:kern w:val="2"/>
                <w:szCs w:val="22"/>
              </w:rPr>
            </w:pPr>
            <w:r>
              <w:rPr>
                <w:kern w:val="2"/>
                <w:szCs w:val="22"/>
              </w:rPr>
              <w:t>检测结果</w:t>
            </w:r>
          </w:p>
        </w:tc>
        <w:tc>
          <w:tcPr>
            <w:tcW w:w="875" w:type="pct"/>
            <w:shd w:val="clear" w:color="auto" w:fill="auto"/>
            <w:vAlign w:val="center"/>
          </w:tcPr>
          <w:p w14:paraId="044F49C4">
            <w:pPr>
              <w:pStyle w:val="10"/>
              <w:widowControl w:val="0"/>
              <w:rPr>
                <w:rFonts w:hint="default"/>
                <w:kern w:val="2"/>
                <w:szCs w:val="22"/>
              </w:rPr>
            </w:pPr>
            <w:r>
              <w:rPr>
                <w:kern w:val="2"/>
                <w:szCs w:val="22"/>
              </w:rPr>
              <w:t>团体标准取值</w:t>
            </w:r>
          </w:p>
        </w:tc>
        <w:tc>
          <w:tcPr>
            <w:tcW w:w="618" w:type="pct"/>
            <w:shd w:val="clear" w:color="auto" w:fill="auto"/>
            <w:vAlign w:val="center"/>
          </w:tcPr>
          <w:p w14:paraId="1BD1F737">
            <w:pPr>
              <w:pStyle w:val="10"/>
              <w:widowControl w:val="0"/>
              <w:rPr>
                <w:rFonts w:hint="default"/>
                <w:kern w:val="2"/>
                <w:szCs w:val="22"/>
              </w:rPr>
            </w:pPr>
            <w:r>
              <w:rPr>
                <w:kern w:val="2"/>
                <w:szCs w:val="22"/>
              </w:rPr>
              <w:t>标准来源</w:t>
            </w:r>
          </w:p>
        </w:tc>
      </w:tr>
      <w:tr w14:paraId="05194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restart"/>
            <w:shd w:val="clear" w:color="auto" w:fill="auto"/>
            <w:vAlign w:val="center"/>
          </w:tcPr>
          <w:p w14:paraId="7851C09A">
            <w:pPr>
              <w:pStyle w:val="10"/>
              <w:widowControl w:val="0"/>
              <w:rPr>
                <w:rFonts w:hint="default"/>
                <w:kern w:val="2"/>
                <w:szCs w:val="22"/>
              </w:rPr>
            </w:pPr>
            <w:r>
              <w:rPr>
                <w:kern w:val="2"/>
                <w:szCs w:val="22"/>
              </w:rPr>
              <w:t>产品有害物质</w:t>
            </w:r>
          </w:p>
        </w:tc>
        <w:tc>
          <w:tcPr>
            <w:tcW w:w="743" w:type="pct"/>
            <w:vMerge w:val="restart"/>
            <w:shd w:val="clear" w:color="auto" w:fill="auto"/>
            <w:vAlign w:val="center"/>
          </w:tcPr>
          <w:p w14:paraId="227E945C">
            <w:pPr>
              <w:pStyle w:val="10"/>
              <w:widowControl w:val="0"/>
              <w:rPr>
                <w:rFonts w:hint="default"/>
                <w:kern w:val="2"/>
                <w:szCs w:val="22"/>
              </w:rPr>
            </w:pPr>
            <w:r>
              <w:rPr>
                <w:kern w:val="2"/>
                <w:szCs w:val="22"/>
              </w:rPr>
              <w:t>有害气体（mg/m</w:t>
            </w:r>
            <w:r>
              <w:rPr>
                <w:kern w:val="2"/>
                <w:szCs w:val="22"/>
                <w:vertAlign w:val="superscript"/>
              </w:rPr>
              <w:t>3</w:t>
            </w:r>
            <w:r>
              <w:rPr>
                <w:kern w:val="2"/>
                <w:szCs w:val="22"/>
              </w:rPr>
              <w:t>）</w:t>
            </w:r>
          </w:p>
        </w:tc>
        <w:tc>
          <w:tcPr>
            <w:tcW w:w="699" w:type="pct"/>
            <w:shd w:val="clear" w:color="auto" w:fill="auto"/>
            <w:vAlign w:val="center"/>
          </w:tcPr>
          <w:p w14:paraId="54E0AD2B">
            <w:pPr>
              <w:pStyle w:val="10"/>
              <w:widowControl w:val="0"/>
              <w:rPr>
                <w:rFonts w:hint="default" w:cs="Times New Roman"/>
                <w:kern w:val="2"/>
                <w:szCs w:val="22"/>
              </w:rPr>
            </w:pPr>
            <w:r>
              <w:rPr>
                <w:kern w:val="2"/>
                <w:szCs w:val="22"/>
              </w:rPr>
              <w:t>甲醛释放量</w:t>
            </w:r>
          </w:p>
        </w:tc>
        <w:tc>
          <w:tcPr>
            <w:tcW w:w="841" w:type="pct"/>
            <w:shd w:val="clear" w:color="auto" w:fill="auto"/>
            <w:vAlign w:val="center"/>
          </w:tcPr>
          <w:p w14:paraId="17F669AC">
            <w:pPr>
              <w:pStyle w:val="10"/>
              <w:widowControl w:val="0"/>
              <w:rPr>
                <w:rFonts w:hint="default"/>
                <w:kern w:val="2"/>
                <w:szCs w:val="22"/>
              </w:rPr>
            </w:pPr>
            <w:r>
              <w:rPr>
                <w:kern w:val="2"/>
                <w:szCs w:val="22"/>
              </w:rPr>
              <w:t>≤0.05</w:t>
            </w:r>
          </w:p>
        </w:tc>
        <w:tc>
          <w:tcPr>
            <w:tcW w:w="803" w:type="pct"/>
            <w:shd w:val="clear" w:color="auto" w:fill="auto"/>
            <w:vAlign w:val="center"/>
          </w:tcPr>
          <w:p w14:paraId="66A43BA3">
            <w:pPr>
              <w:pStyle w:val="10"/>
              <w:widowControl w:val="0"/>
              <w:rPr>
                <w:rFonts w:hint="default"/>
                <w:kern w:val="2"/>
                <w:szCs w:val="22"/>
              </w:rPr>
            </w:pPr>
          </w:p>
        </w:tc>
        <w:tc>
          <w:tcPr>
            <w:tcW w:w="875" w:type="pct"/>
            <w:shd w:val="clear" w:color="auto" w:fill="auto"/>
            <w:vAlign w:val="center"/>
          </w:tcPr>
          <w:p w14:paraId="6FFC021A">
            <w:pPr>
              <w:pStyle w:val="10"/>
              <w:widowControl w:val="0"/>
              <w:rPr>
                <w:rFonts w:hint="default"/>
                <w:kern w:val="2"/>
                <w:szCs w:val="22"/>
              </w:rPr>
            </w:pPr>
            <w:r>
              <w:rPr>
                <w:kern w:val="2"/>
                <w:szCs w:val="22"/>
              </w:rPr>
              <w:t>≤0.05</w:t>
            </w:r>
          </w:p>
        </w:tc>
        <w:tc>
          <w:tcPr>
            <w:tcW w:w="618" w:type="pct"/>
            <w:vMerge w:val="restart"/>
            <w:shd w:val="clear" w:color="auto" w:fill="auto"/>
            <w:vAlign w:val="center"/>
          </w:tcPr>
          <w:p w14:paraId="64D2CB87">
            <w:pPr>
              <w:pStyle w:val="10"/>
              <w:widowControl w:val="0"/>
              <w:rPr>
                <w:rFonts w:hint="default"/>
                <w:kern w:val="2"/>
                <w:szCs w:val="22"/>
              </w:rPr>
            </w:pPr>
            <w:r>
              <w:rPr>
                <w:kern w:val="2"/>
                <w:szCs w:val="22"/>
              </w:rPr>
              <w:t>GB/T 35607《绿色产品评价 家具》</w:t>
            </w:r>
          </w:p>
        </w:tc>
      </w:tr>
      <w:tr w14:paraId="50FF51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6C7C9DF0">
            <w:pPr>
              <w:pStyle w:val="10"/>
              <w:widowControl w:val="0"/>
              <w:rPr>
                <w:rFonts w:hint="default"/>
                <w:kern w:val="2"/>
                <w:szCs w:val="22"/>
              </w:rPr>
            </w:pPr>
          </w:p>
        </w:tc>
        <w:tc>
          <w:tcPr>
            <w:tcW w:w="743" w:type="pct"/>
            <w:vMerge w:val="continue"/>
            <w:shd w:val="clear" w:color="auto" w:fill="auto"/>
            <w:vAlign w:val="center"/>
          </w:tcPr>
          <w:p w14:paraId="25B04DF0">
            <w:pPr>
              <w:pStyle w:val="10"/>
              <w:widowControl w:val="0"/>
              <w:rPr>
                <w:rFonts w:hint="default"/>
                <w:kern w:val="2"/>
                <w:szCs w:val="22"/>
              </w:rPr>
            </w:pPr>
          </w:p>
        </w:tc>
        <w:tc>
          <w:tcPr>
            <w:tcW w:w="699" w:type="pct"/>
            <w:shd w:val="clear" w:color="auto" w:fill="auto"/>
            <w:vAlign w:val="center"/>
          </w:tcPr>
          <w:p w14:paraId="154D96D3">
            <w:pPr>
              <w:pStyle w:val="10"/>
              <w:widowControl w:val="0"/>
              <w:rPr>
                <w:rFonts w:hint="default" w:cs="Times New Roman"/>
                <w:kern w:val="2"/>
                <w:szCs w:val="22"/>
              </w:rPr>
            </w:pPr>
            <w:r>
              <w:rPr>
                <w:kern w:val="2"/>
                <w:szCs w:val="22"/>
              </w:rPr>
              <w:t>苯</w:t>
            </w:r>
          </w:p>
        </w:tc>
        <w:tc>
          <w:tcPr>
            <w:tcW w:w="841" w:type="pct"/>
            <w:shd w:val="clear" w:color="auto" w:fill="auto"/>
            <w:vAlign w:val="center"/>
          </w:tcPr>
          <w:p w14:paraId="48E02F50">
            <w:pPr>
              <w:pStyle w:val="10"/>
              <w:widowControl w:val="0"/>
              <w:rPr>
                <w:rFonts w:hint="default"/>
                <w:kern w:val="2"/>
                <w:szCs w:val="22"/>
              </w:rPr>
            </w:pPr>
            <w:r>
              <w:rPr>
                <w:kern w:val="2"/>
                <w:szCs w:val="22"/>
              </w:rPr>
              <w:t>≤0.05</w:t>
            </w:r>
          </w:p>
        </w:tc>
        <w:tc>
          <w:tcPr>
            <w:tcW w:w="803" w:type="pct"/>
            <w:shd w:val="clear" w:color="auto" w:fill="auto"/>
            <w:vAlign w:val="center"/>
          </w:tcPr>
          <w:p w14:paraId="3D31DBB6">
            <w:pPr>
              <w:pStyle w:val="10"/>
              <w:widowControl w:val="0"/>
              <w:rPr>
                <w:rFonts w:hint="default"/>
                <w:kern w:val="2"/>
                <w:szCs w:val="22"/>
              </w:rPr>
            </w:pPr>
          </w:p>
        </w:tc>
        <w:tc>
          <w:tcPr>
            <w:tcW w:w="875" w:type="pct"/>
            <w:shd w:val="clear" w:color="auto" w:fill="auto"/>
            <w:vAlign w:val="center"/>
          </w:tcPr>
          <w:p w14:paraId="665F17B6">
            <w:pPr>
              <w:pStyle w:val="10"/>
              <w:widowControl w:val="0"/>
              <w:rPr>
                <w:rFonts w:hint="default"/>
                <w:kern w:val="2"/>
                <w:szCs w:val="22"/>
              </w:rPr>
            </w:pPr>
            <w:r>
              <w:rPr>
                <w:kern w:val="2"/>
                <w:szCs w:val="22"/>
              </w:rPr>
              <w:t>≤0.05</w:t>
            </w:r>
          </w:p>
        </w:tc>
        <w:tc>
          <w:tcPr>
            <w:tcW w:w="618" w:type="pct"/>
            <w:vMerge w:val="continue"/>
            <w:shd w:val="clear" w:color="auto" w:fill="auto"/>
            <w:vAlign w:val="center"/>
          </w:tcPr>
          <w:p w14:paraId="425A09D6">
            <w:pPr>
              <w:pStyle w:val="10"/>
              <w:widowControl w:val="0"/>
              <w:rPr>
                <w:rFonts w:hint="default"/>
                <w:kern w:val="2"/>
                <w:szCs w:val="22"/>
              </w:rPr>
            </w:pPr>
          </w:p>
        </w:tc>
      </w:tr>
      <w:tr w14:paraId="607F65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1A721841">
            <w:pPr>
              <w:pStyle w:val="10"/>
              <w:widowControl w:val="0"/>
              <w:rPr>
                <w:rFonts w:hint="default"/>
                <w:kern w:val="2"/>
                <w:szCs w:val="22"/>
              </w:rPr>
            </w:pPr>
          </w:p>
        </w:tc>
        <w:tc>
          <w:tcPr>
            <w:tcW w:w="743" w:type="pct"/>
            <w:vMerge w:val="continue"/>
            <w:shd w:val="clear" w:color="auto" w:fill="auto"/>
            <w:vAlign w:val="center"/>
          </w:tcPr>
          <w:p w14:paraId="3A1EEC8D">
            <w:pPr>
              <w:pStyle w:val="10"/>
              <w:widowControl w:val="0"/>
              <w:rPr>
                <w:rFonts w:hint="default"/>
                <w:kern w:val="2"/>
                <w:szCs w:val="22"/>
              </w:rPr>
            </w:pPr>
          </w:p>
        </w:tc>
        <w:tc>
          <w:tcPr>
            <w:tcW w:w="699" w:type="pct"/>
            <w:shd w:val="clear" w:color="auto" w:fill="auto"/>
            <w:vAlign w:val="center"/>
          </w:tcPr>
          <w:p w14:paraId="7D8CD98E">
            <w:pPr>
              <w:pStyle w:val="10"/>
              <w:widowControl w:val="0"/>
              <w:rPr>
                <w:rFonts w:hint="default" w:cs="Times New Roman"/>
                <w:kern w:val="2"/>
                <w:szCs w:val="22"/>
              </w:rPr>
            </w:pPr>
            <w:r>
              <w:rPr>
                <w:kern w:val="2"/>
                <w:szCs w:val="22"/>
              </w:rPr>
              <w:t>甲苯</w:t>
            </w:r>
          </w:p>
        </w:tc>
        <w:tc>
          <w:tcPr>
            <w:tcW w:w="841" w:type="pct"/>
            <w:shd w:val="clear" w:color="auto" w:fill="auto"/>
            <w:vAlign w:val="center"/>
          </w:tcPr>
          <w:p w14:paraId="0BAB4A96">
            <w:pPr>
              <w:pStyle w:val="10"/>
              <w:widowControl w:val="0"/>
              <w:rPr>
                <w:rFonts w:hint="default"/>
                <w:kern w:val="2"/>
                <w:szCs w:val="22"/>
              </w:rPr>
            </w:pPr>
            <w:r>
              <w:rPr>
                <w:kern w:val="2"/>
                <w:szCs w:val="22"/>
              </w:rPr>
              <w:t>≤0.1</w:t>
            </w:r>
          </w:p>
        </w:tc>
        <w:tc>
          <w:tcPr>
            <w:tcW w:w="803" w:type="pct"/>
            <w:shd w:val="clear" w:color="auto" w:fill="auto"/>
            <w:vAlign w:val="center"/>
          </w:tcPr>
          <w:p w14:paraId="6C5485B5">
            <w:pPr>
              <w:pStyle w:val="10"/>
              <w:widowControl w:val="0"/>
              <w:rPr>
                <w:rFonts w:hint="default"/>
                <w:kern w:val="2"/>
                <w:szCs w:val="22"/>
              </w:rPr>
            </w:pPr>
          </w:p>
        </w:tc>
        <w:tc>
          <w:tcPr>
            <w:tcW w:w="875" w:type="pct"/>
            <w:shd w:val="clear" w:color="auto" w:fill="auto"/>
            <w:vAlign w:val="center"/>
          </w:tcPr>
          <w:p w14:paraId="7EBCF1AB">
            <w:pPr>
              <w:pStyle w:val="10"/>
              <w:widowControl w:val="0"/>
              <w:rPr>
                <w:rFonts w:hint="default"/>
                <w:kern w:val="2"/>
                <w:szCs w:val="22"/>
              </w:rPr>
            </w:pPr>
            <w:r>
              <w:rPr>
                <w:kern w:val="2"/>
                <w:szCs w:val="22"/>
              </w:rPr>
              <w:t>≤0.1</w:t>
            </w:r>
          </w:p>
        </w:tc>
        <w:tc>
          <w:tcPr>
            <w:tcW w:w="618" w:type="pct"/>
            <w:vMerge w:val="continue"/>
            <w:shd w:val="clear" w:color="auto" w:fill="auto"/>
            <w:vAlign w:val="center"/>
          </w:tcPr>
          <w:p w14:paraId="31C87951">
            <w:pPr>
              <w:pStyle w:val="10"/>
              <w:widowControl w:val="0"/>
              <w:rPr>
                <w:rFonts w:hint="default"/>
                <w:kern w:val="2"/>
                <w:szCs w:val="22"/>
              </w:rPr>
            </w:pPr>
          </w:p>
        </w:tc>
      </w:tr>
      <w:tr w14:paraId="67749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05B9E9A4">
            <w:pPr>
              <w:pStyle w:val="10"/>
              <w:widowControl w:val="0"/>
              <w:rPr>
                <w:rFonts w:hint="default"/>
                <w:kern w:val="2"/>
                <w:szCs w:val="22"/>
              </w:rPr>
            </w:pPr>
          </w:p>
        </w:tc>
        <w:tc>
          <w:tcPr>
            <w:tcW w:w="743" w:type="pct"/>
            <w:vMerge w:val="continue"/>
            <w:shd w:val="clear" w:color="auto" w:fill="auto"/>
            <w:vAlign w:val="center"/>
          </w:tcPr>
          <w:p w14:paraId="13657BBA">
            <w:pPr>
              <w:pStyle w:val="10"/>
              <w:widowControl w:val="0"/>
              <w:rPr>
                <w:rFonts w:hint="default"/>
                <w:kern w:val="2"/>
                <w:szCs w:val="22"/>
              </w:rPr>
            </w:pPr>
          </w:p>
        </w:tc>
        <w:tc>
          <w:tcPr>
            <w:tcW w:w="699" w:type="pct"/>
            <w:shd w:val="clear" w:color="auto" w:fill="auto"/>
            <w:vAlign w:val="center"/>
          </w:tcPr>
          <w:p w14:paraId="6211E0D6">
            <w:pPr>
              <w:pStyle w:val="10"/>
              <w:widowControl w:val="0"/>
              <w:rPr>
                <w:rFonts w:hint="default" w:cs="Times New Roman"/>
                <w:kern w:val="2"/>
                <w:szCs w:val="22"/>
              </w:rPr>
            </w:pPr>
            <w:r>
              <w:rPr>
                <w:kern w:val="2"/>
                <w:szCs w:val="22"/>
              </w:rPr>
              <w:t>二甲苯</w:t>
            </w:r>
          </w:p>
        </w:tc>
        <w:tc>
          <w:tcPr>
            <w:tcW w:w="841" w:type="pct"/>
            <w:shd w:val="clear" w:color="auto" w:fill="auto"/>
            <w:vAlign w:val="center"/>
          </w:tcPr>
          <w:p w14:paraId="47AFD13A">
            <w:pPr>
              <w:pStyle w:val="10"/>
              <w:widowControl w:val="0"/>
              <w:rPr>
                <w:rFonts w:hint="default"/>
                <w:kern w:val="2"/>
                <w:szCs w:val="22"/>
              </w:rPr>
            </w:pPr>
            <w:r>
              <w:rPr>
                <w:kern w:val="2"/>
                <w:szCs w:val="22"/>
              </w:rPr>
              <w:t>≤0.1</w:t>
            </w:r>
          </w:p>
        </w:tc>
        <w:tc>
          <w:tcPr>
            <w:tcW w:w="803" w:type="pct"/>
            <w:shd w:val="clear" w:color="auto" w:fill="auto"/>
            <w:vAlign w:val="center"/>
          </w:tcPr>
          <w:p w14:paraId="13F0396E">
            <w:pPr>
              <w:pStyle w:val="10"/>
              <w:widowControl w:val="0"/>
              <w:rPr>
                <w:rFonts w:hint="default"/>
                <w:kern w:val="2"/>
                <w:szCs w:val="22"/>
              </w:rPr>
            </w:pPr>
          </w:p>
        </w:tc>
        <w:tc>
          <w:tcPr>
            <w:tcW w:w="875" w:type="pct"/>
            <w:shd w:val="clear" w:color="auto" w:fill="auto"/>
            <w:vAlign w:val="center"/>
          </w:tcPr>
          <w:p w14:paraId="566E0025">
            <w:pPr>
              <w:pStyle w:val="10"/>
              <w:widowControl w:val="0"/>
              <w:rPr>
                <w:rFonts w:hint="default"/>
                <w:kern w:val="2"/>
                <w:szCs w:val="22"/>
              </w:rPr>
            </w:pPr>
            <w:r>
              <w:rPr>
                <w:kern w:val="2"/>
                <w:szCs w:val="22"/>
              </w:rPr>
              <w:t>≤0.1</w:t>
            </w:r>
          </w:p>
        </w:tc>
        <w:tc>
          <w:tcPr>
            <w:tcW w:w="618" w:type="pct"/>
            <w:vMerge w:val="continue"/>
            <w:shd w:val="clear" w:color="auto" w:fill="auto"/>
            <w:vAlign w:val="center"/>
          </w:tcPr>
          <w:p w14:paraId="472856E8">
            <w:pPr>
              <w:pStyle w:val="10"/>
              <w:widowControl w:val="0"/>
              <w:rPr>
                <w:rFonts w:hint="default"/>
                <w:kern w:val="2"/>
                <w:szCs w:val="22"/>
              </w:rPr>
            </w:pPr>
          </w:p>
        </w:tc>
      </w:tr>
      <w:tr w14:paraId="2A798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181E209A">
            <w:pPr>
              <w:pStyle w:val="10"/>
              <w:widowControl w:val="0"/>
              <w:rPr>
                <w:rFonts w:hint="default"/>
                <w:kern w:val="2"/>
                <w:szCs w:val="22"/>
              </w:rPr>
            </w:pPr>
          </w:p>
        </w:tc>
        <w:tc>
          <w:tcPr>
            <w:tcW w:w="743" w:type="pct"/>
            <w:vMerge w:val="continue"/>
            <w:shd w:val="clear" w:color="auto" w:fill="auto"/>
            <w:vAlign w:val="center"/>
          </w:tcPr>
          <w:p w14:paraId="630C291C">
            <w:pPr>
              <w:pStyle w:val="10"/>
              <w:widowControl w:val="0"/>
              <w:rPr>
                <w:rFonts w:hint="default"/>
                <w:kern w:val="2"/>
                <w:szCs w:val="22"/>
              </w:rPr>
            </w:pPr>
          </w:p>
        </w:tc>
        <w:tc>
          <w:tcPr>
            <w:tcW w:w="699" w:type="pct"/>
            <w:shd w:val="clear" w:color="auto" w:fill="auto"/>
            <w:vAlign w:val="center"/>
          </w:tcPr>
          <w:p w14:paraId="4311A82B">
            <w:pPr>
              <w:pStyle w:val="10"/>
              <w:widowControl w:val="0"/>
              <w:rPr>
                <w:rFonts w:hint="default" w:cs="Times New Roman"/>
                <w:kern w:val="2"/>
                <w:szCs w:val="22"/>
              </w:rPr>
            </w:pPr>
            <w:r>
              <w:rPr>
                <w:kern w:val="2"/>
                <w:szCs w:val="22"/>
              </w:rPr>
              <w:t>总挥发性有机化合物</w:t>
            </w:r>
          </w:p>
        </w:tc>
        <w:tc>
          <w:tcPr>
            <w:tcW w:w="841" w:type="pct"/>
            <w:shd w:val="clear" w:color="auto" w:fill="auto"/>
            <w:vAlign w:val="center"/>
          </w:tcPr>
          <w:p w14:paraId="2EBD516E">
            <w:pPr>
              <w:pStyle w:val="10"/>
              <w:widowControl w:val="0"/>
              <w:rPr>
                <w:rFonts w:hint="default"/>
                <w:kern w:val="2"/>
                <w:szCs w:val="22"/>
              </w:rPr>
            </w:pPr>
            <w:r>
              <w:rPr>
                <w:kern w:val="2"/>
                <w:szCs w:val="22"/>
              </w:rPr>
              <w:t>≤0.3</w:t>
            </w:r>
          </w:p>
        </w:tc>
        <w:tc>
          <w:tcPr>
            <w:tcW w:w="803" w:type="pct"/>
            <w:shd w:val="clear" w:color="auto" w:fill="auto"/>
            <w:vAlign w:val="center"/>
          </w:tcPr>
          <w:p w14:paraId="4CA5C2D8">
            <w:pPr>
              <w:pStyle w:val="10"/>
              <w:widowControl w:val="0"/>
              <w:rPr>
                <w:rFonts w:hint="default"/>
                <w:kern w:val="2"/>
                <w:szCs w:val="22"/>
              </w:rPr>
            </w:pPr>
          </w:p>
        </w:tc>
        <w:tc>
          <w:tcPr>
            <w:tcW w:w="875" w:type="pct"/>
            <w:shd w:val="clear" w:color="auto" w:fill="auto"/>
            <w:vAlign w:val="center"/>
          </w:tcPr>
          <w:p w14:paraId="0E3A64BD">
            <w:pPr>
              <w:pStyle w:val="10"/>
              <w:widowControl w:val="0"/>
              <w:rPr>
                <w:rFonts w:hint="default"/>
                <w:kern w:val="2"/>
                <w:szCs w:val="22"/>
              </w:rPr>
            </w:pPr>
            <w:r>
              <w:rPr>
                <w:kern w:val="2"/>
                <w:szCs w:val="22"/>
              </w:rPr>
              <w:t>≤0.3</w:t>
            </w:r>
          </w:p>
        </w:tc>
        <w:tc>
          <w:tcPr>
            <w:tcW w:w="618" w:type="pct"/>
            <w:vMerge w:val="continue"/>
            <w:shd w:val="clear" w:color="auto" w:fill="auto"/>
            <w:vAlign w:val="center"/>
          </w:tcPr>
          <w:p w14:paraId="6C1F0867">
            <w:pPr>
              <w:pStyle w:val="10"/>
              <w:widowControl w:val="0"/>
              <w:rPr>
                <w:rFonts w:hint="default"/>
                <w:kern w:val="2"/>
                <w:szCs w:val="22"/>
              </w:rPr>
            </w:pPr>
          </w:p>
        </w:tc>
      </w:tr>
      <w:tr w14:paraId="46FD2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3E6FAB63">
            <w:pPr>
              <w:pStyle w:val="10"/>
              <w:widowControl w:val="0"/>
              <w:rPr>
                <w:rFonts w:hint="default"/>
                <w:kern w:val="2"/>
                <w:szCs w:val="22"/>
              </w:rPr>
            </w:pPr>
          </w:p>
        </w:tc>
        <w:tc>
          <w:tcPr>
            <w:tcW w:w="743" w:type="pct"/>
            <w:vMerge w:val="restart"/>
            <w:shd w:val="clear" w:color="auto" w:fill="auto"/>
            <w:vAlign w:val="center"/>
          </w:tcPr>
          <w:p w14:paraId="5640C32A">
            <w:pPr>
              <w:pStyle w:val="10"/>
              <w:widowControl w:val="0"/>
              <w:rPr>
                <w:rFonts w:hint="default"/>
                <w:kern w:val="2"/>
                <w:szCs w:val="22"/>
              </w:rPr>
            </w:pPr>
            <w:r>
              <w:rPr>
                <w:kern w:val="2"/>
                <w:szCs w:val="22"/>
              </w:rPr>
              <w:t>家具涂层可迁移元素（mg/kg）</w:t>
            </w:r>
          </w:p>
        </w:tc>
        <w:tc>
          <w:tcPr>
            <w:tcW w:w="699" w:type="pct"/>
            <w:shd w:val="clear" w:color="auto" w:fill="auto"/>
            <w:vAlign w:val="center"/>
          </w:tcPr>
          <w:p w14:paraId="37EEA536">
            <w:pPr>
              <w:pStyle w:val="10"/>
              <w:widowControl w:val="0"/>
              <w:rPr>
                <w:rFonts w:hint="default"/>
                <w:kern w:val="2"/>
                <w:szCs w:val="22"/>
              </w:rPr>
            </w:pPr>
            <w:r>
              <w:rPr>
                <w:kern w:val="2"/>
                <w:szCs w:val="22"/>
              </w:rPr>
              <w:t>铅Pb</w:t>
            </w:r>
          </w:p>
        </w:tc>
        <w:tc>
          <w:tcPr>
            <w:tcW w:w="841" w:type="pct"/>
            <w:shd w:val="clear" w:color="auto" w:fill="auto"/>
            <w:vAlign w:val="center"/>
          </w:tcPr>
          <w:p w14:paraId="2448FE9E">
            <w:pPr>
              <w:pStyle w:val="10"/>
              <w:widowControl w:val="0"/>
              <w:rPr>
                <w:rFonts w:hint="default"/>
                <w:kern w:val="2"/>
                <w:szCs w:val="22"/>
              </w:rPr>
            </w:pPr>
            <w:r>
              <w:rPr>
                <w:kern w:val="2"/>
                <w:szCs w:val="22"/>
              </w:rPr>
              <w:t>≤90</w:t>
            </w:r>
          </w:p>
        </w:tc>
        <w:tc>
          <w:tcPr>
            <w:tcW w:w="803" w:type="pct"/>
            <w:shd w:val="clear" w:color="auto" w:fill="auto"/>
            <w:vAlign w:val="center"/>
          </w:tcPr>
          <w:p w14:paraId="2F483D3B">
            <w:pPr>
              <w:pStyle w:val="10"/>
              <w:widowControl w:val="0"/>
              <w:rPr>
                <w:rFonts w:hint="default"/>
                <w:kern w:val="2"/>
                <w:szCs w:val="22"/>
              </w:rPr>
            </w:pPr>
          </w:p>
        </w:tc>
        <w:tc>
          <w:tcPr>
            <w:tcW w:w="875" w:type="pct"/>
            <w:shd w:val="clear" w:color="auto" w:fill="auto"/>
            <w:vAlign w:val="center"/>
          </w:tcPr>
          <w:p w14:paraId="617775FA">
            <w:pPr>
              <w:pStyle w:val="10"/>
              <w:widowControl w:val="0"/>
              <w:rPr>
                <w:rFonts w:hint="default"/>
                <w:kern w:val="2"/>
                <w:szCs w:val="22"/>
              </w:rPr>
            </w:pPr>
            <w:r>
              <w:rPr>
                <w:kern w:val="2"/>
                <w:szCs w:val="22"/>
              </w:rPr>
              <w:t>≤90</w:t>
            </w:r>
          </w:p>
        </w:tc>
        <w:tc>
          <w:tcPr>
            <w:tcW w:w="618" w:type="pct"/>
            <w:vMerge w:val="continue"/>
            <w:shd w:val="clear" w:color="auto" w:fill="auto"/>
            <w:vAlign w:val="center"/>
          </w:tcPr>
          <w:p w14:paraId="52CE4FC4">
            <w:pPr>
              <w:pStyle w:val="10"/>
              <w:widowControl w:val="0"/>
              <w:rPr>
                <w:rFonts w:hint="default"/>
                <w:kern w:val="2"/>
                <w:szCs w:val="22"/>
              </w:rPr>
            </w:pPr>
          </w:p>
        </w:tc>
      </w:tr>
      <w:tr w14:paraId="657E6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78E84AD5">
            <w:pPr>
              <w:pStyle w:val="10"/>
              <w:widowControl w:val="0"/>
              <w:rPr>
                <w:rFonts w:hint="default"/>
                <w:kern w:val="2"/>
                <w:szCs w:val="22"/>
              </w:rPr>
            </w:pPr>
          </w:p>
        </w:tc>
        <w:tc>
          <w:tcPr>
            <w:tcW w:w="743" w:type="pct"/>
            <w:vMerge w:val="continue"/>
            <w:shd w:val="clear" w:color="auto" w:fill="auto"/>
            <w:vAlign w:val="center"/>
          </w:tcPr>
          <w:p w14:paraId="5DE547BF">
            <w:pPr>
              <w:pStyle w:val="10"/>
              <w:widowControl w:val="0"/>
              <w:rPr>
                <w:rFonts w:hint="default"/>
                <w:kern w:val="2"/>
                <w:szCs w:val="22"/>
              </w:rPr>
            </w:pPr>
          </w:p>
        </w:tc>
        <w:tc>
          <w:tcPr>
            <w:tcW w:w="699" w:type="pct"/>
            <w:shd w:val="clear" w:color="auto" w:fill="auto"/>
            <w:vAlign w:val="center"/>
          </w:tcPr>
          <w:p w14:paraId="3CAE1341">
            <w:pPr>
              <w:pStyle w:val="10"/>
              <w:widowControl w:val="0"/>
              <w:rPr>
                <w:rFonts w:hint="default"/>
                <w:kern w:val="2"/>
                <w:szCs w:val="22"/>
              </w:rPr>
            </w:pPr>
            <w:r>
              <w:rPr>
                <w:kern w:val="2"/>
                <w:szCs w:val="22"/>
              </w:rPr>
              <w:t>镉Cd</w:t>
            </w:r>
          </w:p>
        </w:tc>
        <w:tc>
          <w:tcPr>
            <w:tcW w:w="841" w:type="pct"/>
            <w:shd w:val="clear" w:color="auto" w:fill="auto"/>
            <w:vAlign w:val="center"/>
          </w:tcPr>
          <w:p w14:paraId="365D3E81">
            <w:pPr>
              <w:pStyle w:val="10"/>
              <w:widowControl w:val="0"/>
              <w:rPr>
                <w:rFonts w:hint="default" w:eastAsia="宋体"/>
                <w:color w:val="FF0000"/>
                <w:kern w:val="2"/>
                <w:szCs w:val="22"/>
                <w:highlight w:val="none"/>
                <w:lang w:val="en-US" w:eastAsia="zh-CN"/>
              </w:rPr>
            </w:pPr>
            <w:r>
              <w:rPr>
                <w:color w:val="FF0000"/>
                <w:kern w:val="2"/>
                <w:szCs w:val="22"/>
                <w:highlight w:val="none"/>
              </w:rPr>
              <w:t>≤50</w:t>
            </w:r>
            <w:r>
              <w:rPr>
                <w:rFonts w:hint="eastAsia"/>
                <w:color w:val="FF0000"/>
                <w:kern w:val="2"/>
                <w:szCs w:val="22"/>
                <w:highlight w:val="none"/>
                <w:lang w:val="en-US" w:eastAsia="zh-CN"/>
              </w:rPr>
              <w:t>(75)</w:t>
            </w:r>
          </w:p>
        </w:tc>
        <w:tc>
          <w:tcPr>
            <w:tcW w:w="803" w:type="pct"/>
            <w:shd w:val="clear" w:color="auto" w:fill="auto"/>
            <w:vAlign w:val="center"/>
          </w:tcPr>
          <w:p w14:paraId="5AAE00F9">
            <w:pPr>
              <w:pStyle w:val="10"/>
              <w:widowControl w:val="0"/>
              <w:rPr>
                <w:rFonts w:hint="default"/>
                <w:kern w:val="2"/>
                <w:szCs w:val="22"/>
              </w:rPr>
            </w:pPr>
          </w:p>
        </w:tc>
        <w:tc>
          <w:tcPr>
            <w:tcW w:w="875" w:type="pct"/>
            <w:shd w:val="clear" w:color="auto" w:fill="auto"/>
            <w:vAlign w:val="center"/>
          </w:tcPr>
          <w:p w14:paraId="233F2355">
            <w:pPr>
              <w:pStyle w:val="10"/>
              <w:widowControl w:val="0"/>
              <w:rPr>
                <w:rFonts w:hint="default"/>
                <w:color w:val="FF0000"/>
                <w:kern w:val="2"/>
                <w:szCs w:val="22"/>
              </w:rPr>
            </w:pPr>
            <w:r>
              <w:rPr>
                <w:color w:val="FF0000"/>
                <w:kern w:val="2"/>
                <w:szCs w:val="22"/>
              </w:rPr>
              <w:t>≤50</w:t>
            </w:r>
          </w:p>
        </w:tc>
        <w:tc>
          <w:tcPr>
            <w:tcW w:w="618" w:type="pct"/>
            <w:vMerge w:val="continue"/>
            <w:shd w:val="clear" w:color="auto" w:fill="auto"/>
            <w:vAlign w:val="center"/>
          </w:tcPr>
          <w:p w14:paraId="76878273">
            <w:pPr>
              <w:pStyle w:val="10"/>
              <w:widowControl w:val="0"/>
              <w:rPr>
                <w:rFonts w:hint="default"/>
                <w:kern w:val="2"/>
                <w:szCs w:val="22"/>
              </w:rPr>
            </w:pPr>
          </w:p>
        </w:tc>
      </w:tr>
      <w:tr w14:paraId="6DF044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0F35927D">
            <w:pPr>
              <w:pStyle w:val="10"/>
              <w:widowControl w:val="0"/>
              <w:rPr>
                <w:rFonts w:hint="default"/>
                <w:kern w:val="2"/>
                <w:szCs w:val="22"/>
              </w:rPr>
            </w:pPr>
          </w:p>
        </w:tc>
        <w:tc>
          <w:tcPr>
            <w:tcW w:w="743" w:type="pct"/>
            <w:vMerge w:val="continue"/>
            <w:shd w:val="clear" w:color="auto" w:fill="auto"/>
            <w:vAlign w:val="center"/>
          </w:tcPr>
          <w:p w14:paraId="13ED5FA2">
            <w:pPr>
              <w:pStyle w:val="10"/>
              <w:widowControl w:val="0"/>
              <w:rPr>
                <w:rFonts w:hint="default"/>
                <w:kern w:val="2"/>
                <w:szCs w:val="22"/>
              </w:rPr>
            </w:pPr>
          </w:p>
        </w:tc>
        <w:tc>
          <w:tcPr>
            <w:tcW w:w="699" w:type="pct"/>
            <w:shd w:val="clear" w:color="auto" w:fill="auto"/>
            <w:vAlign w:val="center"/>
          </w:tcPr>
          <w:p w14:paraId="5A035176">
            <w:pPr>
              <w:pStyle w:val="10"/>
              <w:widowControl w:val="0"/>
              <w:rPr>
                <w:rFonts w:hint="default"/>
                <w:kern w:val="2"/>
                <w:szCs w:val="22"/>
              </w:rPr>
            </w:pPr>
            <w:r>
              <w:rPr>
                <w:kern w:val="2"/>
                <w:szCs w:val="22"/>
              </w:rPr>
              <w:t>铬Cr</w:t>
            </w:r>
          </w:p>
        </w:tc>
        <w:tc>
          <w:tcPr>
            <w:tcW w:w="841" w:type="pct"/>
            <w:shd w:val="clear" w:color="auto" w:fill="auto"/>
            <w:vAlign w:val="center"/>
          </w:tcPr>
          <w:p w14:paraId="233F8C5C">
            <w:pPr>
              <w:pStyle w:val="10"/>
              <w:widowControl w:val="0"/>
              <w:rPr>
                <w:rFonts w:hint="default" w:eastAsia="宋体"/>
                <w:color w:val="FF0000"/>
                <w:kern w:val="2"/>
                <w:szCs w:val="22"/>
                <w:highlight w:val="none"/>
                <w:lang w:val="en-US" w:eastAsia="zh-CN"/>
              </w:rPr>
            </w:pPr>
            <w:r>
              <w:rPr>
                <w:color w:val="FF0000"/>
                <w:kern w:val="2"/>
                <w:szCs w:val="22"/>
                <w:highlight w:val="none"/>
              </w:rPr>
              <w:t>≤25</w:t>
            </w:r>
            <w:r>
              <w:rPr>
                <w:rFonts w:hint="eastAsia"/>
                <w:color w:val="FF0000"/>
                <w:kern w:val="2"/>
                <w:szCs w:val="22"/>
                <w:highlight w:val="none"/>
                <w:lang w:val="en-US" w:eastAsia="zh-CN"/>
              </w:rPr>
              <w:t>(60)</w:t>
            </w:r>
          </w:p>
        </w:tc>
        <w:tc>
          <w:tcPr>
            <w:tcW w:w="803" w:type="pct"/>
            <w:shd w:val="clear" w:color="auto" w:fill="auto"/>
            <w:vAlign w:val="center"/>
          </w:tcPr>
          <w:p w14:paraId="5E4DD87D">
            <w:pPr>
              <w:pStyle w:val="10"/>
              <w:widowControl w:val="0"/>
              <w:rPr>
                <w:rFonts w:hint="default"/>
                <w:kern w:val="2"/>
                <w:szCs w:val="22"/>
              </w:rPr>
            </w:pPr>
          </w:p>
        </w:tc>
        <w:tc>
          <w:tcPr>
            <w:tcW w:w="875" w:type="pct"/>
            <w:shd w:val="clear" w:color="auto" w:fill="auto"/>
            <w:vAlign w:val="center"/>
          </w:tcPr>
          <w:p w14:paraId="6782C517">
            <w:pPr>
              <w:pStyle w:val="10"/>
              <w:widowControl w:val="0"/>
              <w:rPr>
                <w:rFonts w:hint="default"/>
                <w:color w:val="FF0000"/>
                <w:kern w:val="2"/>
                <w:szCs w:val="22"/>
              </w:rPr>
            </w:pPr>
            <w:r>
              <w:rPr>
                <w:color w:val="FF0000"/>
                <w:kern w:val="2"/>
                <w:szCs w:val="22"/>
              </w:rPr>
              <w:t>≤25</w:t>
            </w:r>
          </w:p>
        </w:tc>
        <w:tc>
          <w:tcPr>
            <w:tcW w:w="618" w:type="pct"/>
            <w:vMerge w:val="continue"/>
            <w:shd w:val="clear" w:color="auto" w:fill="auto"/>
            <w:vAlign w:val="center"/>
          </w:tcPr>
          <w:p w14:paraId="55F1EEF1">
            <w:pPr>
              <w:pStyle w:val="10"/>
              <w:widowControl w:val="0"/>
              <w:rPr>
                <w:rFonts w:hint="default"/>
                <w:kern w:val="2"/>
                <w:szCs w:val="22"/>
              </w:rPr>
            </w:pPr>
          </w:p>
        </w:tc>
      </w:tr>
      <w:tr w14:paraId="49418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1E7987C9">
            <w:pPr>
              <w:pStyle w:val="10"/>
              <w:widowControl w:val="0"/>
              <w:rPr>
                <w:rFonts w:hint="default"/>
                <w:kern w:val="2"/>
                <w:szCs w:val="22"/>
              </w:rPr>
            </w:pPr>
          </w:p>
        </w:tc>
        <w:tc>
          <w:tcPr>
            <w:tcW w:w="743" w:type="pct"/>
            <w:vMerge w:val="continue"/>
            <w:shd w:val="clear" w:color="auto" w:fill="auto"/>
            <w:vAlign w:val="center"/>
          </w:tcPr>
          <w:p w14:paraId="7552BF60">
            <w:pPr>
              <w:pStyle w:val="10"/>
              <w:widowControl w:val="0"/>
              <w:rPr>
                <w:rFonts w:hint="default"/>
                <w:kern w:val="2"/>
                <w:szCs w:val="22"/>
              </w:rPr>
            </w:pPr>
          </w:p>
        </w:tc>
        <w:tc>
          <w:tcPr>
            <w:tcW w:w="699" w:type="pct"/>
            <w:shd w:val="clear" w:color="auto" w:fill="auto"/>
            <w:vAlign w:val="center"/>
          </w:tcPr>
          <w:p w14:paraId="61BBA3BE">
            <w:pPr>
              <w:pStyle w:val="10"/>
              <w:widowControl w:val="0"/>
              <w:rPr>
                <w:rFonts w:hint="default"/>
                <w:kern w:val="2"/>
                <w:szCs w:val="22"/>
              </w:rPr>
            </w:pPr>
            <w:r>
              <w:rPr>
                <w:kern w:val="2"/>
                <w:szCs w:val="22"/>
              </w:rPr>
              <w:t>汞Hg</w:t>
            </w:r>
          </w:p>
        </w:tc>
        <w:tc>
          <w:tcPr>
            <w:tcW w:w="841" w:type="pct"/>
            <w:shd w:val="clear" w:color="auto" w:fill="auto"/>
            <w:vAlign w:val="center"/>
          </w:tcPr>
          <w:p w14:paraId="0941B3FF">
            <w:pPr>
              <w:pStyle w:val="10"/>
              <w:widowControl w:val="0"/>
              <w:rPr>
                <w:rFonts w:hint="default" w:eastAsia="宋体"/>
                <w:color w:val="FF0000"/>
                <w:kern w:val="2"/>
                <w:szCs w:val="22"/>
                <w:highlight w:val="none"/>
                <w:lang w:val="en-US" w:eastAsia="zh-CN"/>
              </w:rPr>
            </w:pPr>
            <w:r>
              <w:rPr>
                <w:color w:val="FF0000"/>
                <w:kern w:val="2"/>
                <w:szCs w:val="22"/>
                <w:highlight w:val="none"/>
              </w:rPr>
              <w:t>≤25</w:t>
            </w:r>
            <w:r>
              <w:rPr>
                <w:rFonts w:hint="eastAsia"/>
                <w:color w:val="FF0000"/>
                <w:kern w:val="2"/>
                <w:szCs w:val="22"/>
                <w:highlight w:val="none"/>
                <w:lang w:val="en-US" w:eastAsia="zh-CN"/>
              </w:rPr>
              <w:t>(60)</w:t>
            </w:r>
          </w:p>
        </w:tc>
        <w:tc>
          <w:tcPr>
            <w:tcW w:w="803" w:type="pct"/>
            <w:shd w:val="clear" w:color="auto" w:fill="auto"/>
            <w:vAlign w:val="center"/>
          </w:tcPr>
          <w:p w14:paraId="7139F0D0">
            <w:pPr>
              <w:pStyle w:val="10"/>
              <w:widowControl w:val="0"/>
              <w:rPr>
                <w:rFonts w:hint="default"/>
                <w:kern w:val="2"/>
                <w:szCs w:val="22"/>
              </w:rPr>
            </w:pPr>
          </w:p>
        </w:tc>
        <w:tc>
          <w:tcPr>
            <w:tcW w:w="875" w:type="pct"/>
            <w:shd w:val="clear" w:color="auto" w:fill="auto"/>
            <w:vAlign w:val="center"/>
          </w:tcPr>
          <w:p w14:paraId="635D758E">
            <w:pPr>
              <w:pStyle w:val="10"/>
              <w:widowControl w:val="0"/>
              <w:rPr>
                <w:rFonts w:hint="default"/>
                <w:color w:val="FF0000"/>
                <w:kern w:val="2"/>
                <w:szCs w:val="22"/>
              </w:rPr>
            </w:pPr>
            <w:r>
              <w:rPr>
                <w:color w:val="FF0000"/>
                <w:kern w:val="2"/>
                <w:szCs w:val="22"/>
              </w:rPr>
              <w:t>≤25</w:t>
            </w:r>
          </w:p>
        </w:tc>
        <w:tc>
          <w:tcPr>
            <w:tcW w:w="618" w:type="pct"/>
            <w:vMerge w:val="continue"/>
            <w:shd w:val="clear" w:color="auto" w:fill="auto"/>
            <w:vAlign w:val="center"/>
          </w:tcPr>
          <w:p w14:paraId="341970FC">
            <w:pPr>
              <w:pStyle w:val="10"/>
              <w:widowControl w:val="0"/>
              <w:rPr>
                <w:rFonts w:hint="default"/>
                <w:kern w:val="2"/>
                <w:szCs w:val="22"/>
              </w:rPr>
            </w:pPr>
          </w:p>
        </w:tc>
      </w:tr>
      <w:tr w14:paraId="591C0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73489504">
            <w:pPr>
              <w:pStyle w:val="10"/>
              <w:widowControl w:val="0"/>
              <w:rPr>
                <w:rFonts w:hint="default"/>
                <w:kern w:val="2"/>
                <w:szCs w:val="22"/>
              </w:rPr>
            </w:pPr>
          </w:p>
        </w:tc>
        <w:tc>
          <w:tcPr>
            <w:tcW w:w="743" w:type="pct"/>
            <w:vMerge w:val="continue"/>
            <w:shd w:val="clear" w:color="auto" w:fill="auto"/>
            <w:vAlign w:val="center"/>
          </w:tcPr>
          <w:p w14:paraId="48623AF6">
            <w:pPr>
              <w:pStyle w:val="10"/>
              <w:widowControl w:val="0"/>
              <w:rPr>
                <w:rFonts w:hint="default"/>
                <w:kern w:val="2"/>
                <w:szCs w:val="22"/>
              </w:rPr>
            </w:pPr>
          </w:p>
        </w:tc>
        <w:tc>
          <w:tcPr>
            <w:tcW w:w="699" w:type="pct"/>
            <w:shd w:val="clear" w:color="auto" w:fill="auto"/>
            <w:vAlign w:val="center"/>
          </w:tcPr>
          <w:p w14:paraId="632DEB3E">
            <w:pPr>
              <w:pStyle w:val="10"/>
              <w:widowControl w:val="0"/>
              <w:rPr>
                <w:rFonts w:hint="default"/>
                <w:kern w:val="2"/>
                <w:szCs w:val="22"/>
              </w:rPr>
            </w:pPr>
            <w:r>
              <w:rPr>
                <w:kern w:val="2"/>
                <w:szCs w:val="22"/>
              </w:rPr>
              <w:t>锑Sb</w:t>
            </w:r>
          </w:p>
        </w:tc>
        <w:tc>
          <w:tcPr>
            <w:tcW w:w="841" w:type="pct"/>
            <w:shd w:val="clear" w:color="auto" w:fill="auto"/>
            <w:vAlign w:val="center"/>
          </w:tcPr>
          <w:p w14:paraId="33ED669C">
            <w:pPr>
              <w:pStyle w:val="10"/>
              <w:widowControl w:val="0"/>
              <w:rPr>
                <w:rFonts w:hint="default"/>
                <w:kern w:val="2"/>
                <w:szCs w:val="22"/>
              </w:rPr>
            </w:pPr>
            <w:r>
              <w:rPr>
                <w:kern w:val="2"/>
                <w:szCs w:val="22"/>
              </w:rPr>
              <w:t>≤60</w:t>
            </w:r>
          </w:p>
        </w:tc>
        <w:tc>
          <w:tcPr>
            <w:tcW w:w="803" w:type="pct"/>
            <w:shd w:val="clear" w:color="auto" w:fill="auto"/>
            <w:vAlign w:val="center"/>
          </w:tcPr>
          <w:p w14:paraId="45E0584B">
            <w:pPr>
              <w:pStyle w:val="10"/>
              <w:widowControl w:val="0"/>
              <w:rPr>
                <w:rFonts w:hint="default"/>
                <w:kern w:val="2"/>
                <w:szCs w:val="22"/>
              </w:rPr>
            </w:pPr>
          </w:p>
        </w:tc>
        <w:tc>
          <w:tcPr>
            <w:tcW w:w="875" w:type="pct"/>
            <w:shd w:val="clear" w:color="auto" w:fill="auto"/>
            <w:vAlign w:val="center"/>
          </w:tcPr>
          <w:p w14:paraId="3714B987">
            <w:pPr>
              <w:pStyle w:val="10"/>
              <w:widowControl w:val="0"/>
              <w:rPr>
                <w:rFonts w:hint="default"/>
                <w:kern w:val="2"/>
                <w:szCs w:val="22"/>
              </w:rPr>
            </w:pPr>
            <w:r>
              <w:rPr>
                <w:kern w:val="2"/>
                <w:szCs w:val="22"/>
              </w:rPr>
              <w:t>≤60</w:t>
            </w:r>
          </w:p>
        </w:tc>
        <w:tc>
          <w:tcPr>
            <w:tcW w:w="618" w:type="pct"/>
            <w:vMerge w:val="continue"/>
            <w:shd w:val="clear" w:color="auto" w:fill="auto"/>
            <w:vAlign w:val="center"/>
          </w:tcPr>
          <w:p w14:paraId="733397AC">
            <w:pPr>
              <w:pStyle w:val="10"/>
              <w:widowControl w:val="0"/>
              <w:rPr>
                <w:rFonts w:hint="default"/>
                <w:kern w:val="2"/>
                <w:szCs w:val="22"/>
              </w:rPr>
            </w:pPr>
          </w:p>
        </w:tc>
      </w:tr>
      <w:tr w14:paraId="0AF0EA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47DE69E2">
            <w:pPr>
              <w:pStyle w:val="10"/>
              <w:widowControl w:val="0"/>
              <w:rPr>
                <w:rFonts w:hint="default"/>
                <w:kern w:val="2"/>
                <w:szCs w:val="22"/>
              </w:rPr>
            </w:pPr>
          </w:p>
        </w:tc>
        <w:tc>
          <w:tcPr>
            <w:tcW w:w="743" w:type="pct"/>
            <w:vMerge w:val="continue"/>
            <w:shd w:val="clear" w:color="auto" w:fill="auto"/>
            <w:vAlign w:val="center"/>
          </w:tcPr>
          <w:p w14:paraId="73BC7AB9">
            <w:pPr>
              <w:pStyle w:val="10"/>
              <w:widowControl w:val="0"/>
              <w:rPr>
                <w:rFonts w:hint="default"/>
                <w:kern w:val="2"/>
                <w:szCs w:val="22"/>
              </w:rPr>
            </w:pPr>
          </w:p>
        </w:tc>
        <w:tc>
          <w:tcPr>
            <w:tcW w:w="699" w:type="pct"/>
            <w:shd w:val="clear" w:color="auto" w:fill="auto"/>
            <w:vAlign w:val="center"/>
          </w:tcPr>
          <w:p w14:paraId="50B24850">
            <w:pPr>
              <w:pStyle w:val="10"/>
              <w:widowControl w:val="0"/>
              <w:rPr>
                <w:rFonts w:hint="default"/>
                <w:kern w:val="2"/>
                <w:szCs w:val="22"/>
              </w:rPr>
            </w:pPr>
            <w:r>
              <w:rPr>
                <w:kern w:val="2"/>
                <w:szCs w:val="22"/>
              </w:rPr>
              <w:t>钡Ba</w:t>
            </w:r>
          </w:p>
        </w:tc>
        <w:tc>
          <w:tcPr>
            <w:tcW w:w="841" w:type="pct"/>
            <w:shd w:val="clear" w:color="auto" w:fill="auto"/>
            <w:vAlign w:val="center"/>
          </w:tcPr>
          <w:p w14:paraId="1D1190A4">
            <w:pPr>
              <w:pStyle w:val="10"/>
              <w:widowControl w:val="0"/>
              <w:rPr>
                <w:rFonts w:hint="default"/>
                <w:kern w:val="2"/>
                <w:szCs w:val="22"/>
              </w:rPr>
            </w:pPr>
            <w:r>
              <w:rPr>
                <w:kern w:val="2"/>
                <w:szCs w:val="22"/>
              </w:rPr>
              <w:t>≤1000</w:t>
            </w:r>
          </w:p>
        </w:tc>
        <w:tc>
          <w:tcPr>
            <w:tcW w:w="803" w:type="pct"/>
            <w:shd w:val="clear" w:color="auto" w:fill="auto"/>
            <w:vAlign w:val="center"/>
          </w:tcPr>
          <w:p w14:paraId="2C7F2558">
            <w:pPr>
              <w:pStyle w:val="10"/>
              <w:widowControl w:val="0"/>
              <w:rPr>
                <w:rFonts w:hint="default"/>
                <w:kern w:val="2"/>
                <w:szCs w:val="22"/>
              </w:rPr>
            </w:pPr>
          </w:p>
        </w:tc>
        <w:tc>
          <w:tcPr>
            <w:tcW w:w="875" w:type="pct"/>
            <w:shd w:val="clear" w:color="auto" w:fill="auto"/>
            <w:vAlign w:val="center"/>
          </w:tcPr>
          <w:p w14:paraId="570BB48A">
            <w:pPr>
              <w:pStyle w:val="10"/>
              <w:widowControl w:val="0"/>
              <w:rPr>
                <w:rFonts w:hint="default"/>
                <w:kern w:val="2"/>
                <w:szCs w:val="22"/>
              </w:rPr>
            </w:pPr>
            <w:r>
              <w:rPr>
                <w:kern w:val="2"/>
                <w:szCs w:val="22"/>
              </w:rPr>
              <w:t>≤1000</w:t>
            </w:r>
          </w:p>
        </w:tc>
        <w:tc>
          <w:tcPr>
            <w:tcW w:w="618" w:type="pct"/>
            <w:vMerge w:val="continue"/>
            <w:shd w:val="clear" w:color="auto" w:fill="auto"/>
            <w:vAlign w:val="center"/>
          </w:tcPr>
          <w:p w14:paraId="65F7DDF9">
            <w:pPr>
              <w:pStyle w:val="10"/>
              <w:widowControl w:val="0"/>
              <w:rPr>
                <w:rFonts w:hint="default"/>
                <w:kern w:val="2"/>
                <w:szCs w:val="22"/>
              </w:rPr>
            </w:pPr>
          </w:p>
        </w:tc>
      </w:tr>
      <w:tr w14:paraId="6A53D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09699CF0">
            <w:pPr>
              <w:pStyle w:val="10"/>
              <w:widowControl w:val="0"/>
              <w:rPr>
                <w:rFonts w:hint="default"/>
                <w:kern w:val="2"/>
                <w:szCs w:val="22"/>
              </w:rPr>
            </w:pPr>
          </w:p>
        </w:tc>
        <w:tc>
          <w:tcPr>
            <w:tcW w:w="743" w:type="pct"/>
            <w:vMerge w:val="continue"/>
            <w:shd w:val="clear" w:color="auto" w:fill="auto"/>
            <w:vAlign w:val="center"/>
          </w:tcPr>
          <w:p w14:paraId="57C58B5C">
            <w:pPr>
              <w:pStyle w:val="10"/>
              <w:widowControl w:val="0"/>
              <w:rPr>
                <w:rFonts w:hint="default"/>
                <w:kern w:val="2"/>
                <w:szCs w:val="22"/>
              </w:rPr>
            </w:pPr>
          </w:p>
        </w:tc>
        <w:tc>
          <w:tcPr>
            <w:tcW w:w="699" w:type="pct"/>
            <w:shd w:val="clear" w:color="auto" w:fill="auto"/>
            <w:vAlign w:val="center"/>
          </w:tcPr>
          <w:p w14:paraId="3861E23B">
            <w:pPr>
              <w:pStyle w:val="10"/>
              <w:widowControl w:val="0"/>
              <w:rPr>
                <w:rFonts w:hint="default"/>
                <w:kern w:val="2"/>
                <w:szCs w:val="22"/>
              </w:rPr>
            </w:pPr>
            <w:r>
              <w:rPr>
                <w:kern w:val="2"/>
                <w:szCs w:val="22"/>
              </w:rPr>
              <w:t>硒Se</w:t>
            </w:r>
          </w:p>
        </w:tc>
        <w:tc>
          <w:tcPr>
            <w:tcW w:w="841" w:type="pct"/>
            <w:shd w:val="clear" w:color="auto" w:fill="auto"/>
            <w:vAlign w:val="center"/>
          </w:tcPr>
          <w:p w14:paraId="4A702AF8">
            <w:pPr>
              <w:pStyle w:val="10"/>
              <w:widowControl w:val="0"/>
              <w:rPr>
                <w:rFonts w:hint="default"/>
                <w:kern w:val="2"/>
                <w:szCs w:val="22"/>
              </w:rPr>
            </w:pPr>
            <w:r>
              <w:rPr>
                <w:kern w:val="2"/>
                <w:szCs w:val="22"/>
              </w:rPr>
              <w:t>≤500</w:t>
            </w:r>
          </w:p>
        </w:tc>
        <w:tc>
          <w:tcPr>
            <w:tcW w:w="803" w:type="pct"/>
            <w:shd w:val="clear" w:color="auto" w:fill="auto"/>
            <w:vAlign w:val="center"/>
          </w:tcPr>
          <w:p w14:paraId="5235F8CB">
            <w:pPr>
              <w:pStyle w:val="10"/>
              <w:widowControl w:val="0"/>
              <w:rPr>
                <w:rFonts w:hint="default"/>
                <w:kern w:val="2"/>
                <w:szCs w:val="22"/>
              </w:rPr>
            </w:pPr>
          </w:p>
        </w:tc>
        <w:tc>
          <w:tcPr>
            <w:tcW w:w="875" w:type="pct"/>
            <w:shd w:val="clear" w:color="auto" w:fill="auto"/>
            <w:vAlign w:val="center"/>
          </w:tcPr>
          <w:p w14:paraId="0E6DB6A4">
            <w:pPr>
              <w:pStyle w:val="10"/>
              <w:widowControl w:val="0"/>
              <w:rPr>
                <w:rFonts w:hint="default"/>
                <w:kern w:val="2"/>
                <w:szCs w:val="22"/>
              </w:rPr>
            </w:pPr>
            <w:r>
              <w:rPr>
                <w:kern w:val="2"/>
                <w:szCs w:val="22"/>
              </w:rPr>
              <w:t>≤500</w:t>
            </w:r>
          </w:p>
        </w:tc>
        <w:tc>
          <w:tcPr>
            <w:tcW w:w="618" w:type="pct"/>
            <w:vMerge w:val="continue"/>
            <w:shd w:val="clear" w:color="auto" w:fill="auto"/>
            <w:vAlign w:val="center"/>
          </w:tcPr>
          <w:p w14:paraId="2BB96D5B">
            <w:pPr>
              <w:pStyle w:val="10"/>
              <w:widowControl w:val="0"/>
              <w:rPr>
                <w:rFonts w:hint="default"/>
                <w:kern w:val="2"/>
                <w:szCs w:val="22"/>
              </w:rPr>
            </w:pPr>
          </w:p>
        </w:tc>
      </w:tr>
      <w:tr w14:paraId="150B21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551AAB21">
            <w:pPr>
              <w:pStyle w:val="10"/>
              <w:widowControl w:val="0"/>
              <w:rPr>
                <w:rFonts w:hint="default"/>
                <w:kern w:val="2"/>
                <w:szCs w:val="22"/>
              </w:rPr>
            </w:pPr>
          </w:p>
        </w:tc>
        <w:tc>
          <w:tcPr>
            <w:tcW w:w="743" w:type="pct"/>
            <w:vMerge w:val="continue"/>
            <w:shd w:val="clear" w:color="auto" w:fill="auto"/>
            <w:vAlign w:val="center"/>
          </w:tcPr>
          <w:p w14:paraId="505282E7">
            <w:pPr>
              <w:pStyle w:val="10"/>
              <w:widowControl w:val="0"/>
              <w:rPr>
                <w:rFonts w:hint="default"/>
                <w:kern w:val="2"/>
                <w:szCs w:val="22"/>
              </w:rPr>
            </w:pPr>
          </w:p>
        </w:tc>
        <w:tc>
          <w:tcPr>
            <w:tcW w:w="699" w:type="pct"/>
            <w:shd w:val="clear" w:color="auto" w:fill="auto"/>
            <w:vAlign w:val="center"/>
          </w:tcPr>
          <w:p w14:paraId="746C3719">
            <w:pPr>
              <w:pStyle w:val="10"/>
              <w:widowControl w:val="0"/>
              <w:rPr>
                <w:rFonts w:hint="default"/>
                <w:kern w:val="2"/>
                <w:szCs w:val="22"/>
              </w:rPr>
            </w:pPr>
            <w:r>
              <w:rPr>
                <w:kern w:val="2"/>
                <w:szCs w:val="22"/>
              </w:rPr>
              <w:t>砷As</w:t>
            </w:r>
          </w:p>
        </w:tc>
        <w:tc>
          <w:tcPr>
            <w:tcW w:w="841" w:type="pct"/>
            <w:shd w:val="clear" w:color="auto" w:fill="auto"/>
            <w:vAlign w:val="center"/>
          </w:tcPr>
          <w:p w14:paraId="60815DC5">
            <w:pPr>
              <w:pStyle w:val="10"/>
              <w:widowControl w:val="0"/>
              <w:rPr>
                <w:rFonts w:hint="default"/>
                <w:kern w:val="2"/>
                <w:szCs w:val="22"/>
              </w:rPr>
            </w:pPr>
            <w:r>
              <w:rPr>
                <w:kern w:val="2"/>
                <w:szCs w:val="22"/>
              </w:rPr>
              <w:t>≤25</w:t>
            </w:r>
          </w:p>
        </w:tc>
        <w:tc>
          <w:tcPr>
            <w:tcW w:w="803" w:type="pct"/>
            <w:shd w:val="clear" w:color="auto" w:fill="auto"/>
            <w:vAlign w:val="center"/>
          </w:tcPr>
          <w:p w14:paraId="5869DC48">
            <w:pPr>
              <w:pStyle w:val="10"/>
              <w:widowControl w:val="0"/>
              <w:rPr>
                <w:rFonts w:hint="default"/>
                <w:kern w:val="2"/>
                <w:szCs w:val="22"/>
              </w:rPr>
            </w:pPr>
          </w:p>
        </w:tc>
        <w:tc>
          <w:tcPr>
            <w:tcW w:w="875" w:type="pct"/>
            <w:shd w:val="clear" w:color="auto" w:fill="auto"/>
            <w:vAlign w:val="center"/>
          </w:tcPr>
          <w:p w14:paraId="74D0943D">
            <w:pPr>
              <w:pStyle w:val="10"/>
              <w:widowControl w:val="0"/>
              <w:rPr>
                <w:rFonts w:hint="default"/>
                <w:kern w:val="2"/>
                <w:szCs w:val="22"/>
              </w:rPr>
            </w:pPr>
            <w:r>
              <w:rPr>
                <w:kern w:val="2"/>
                <w:szCs w:val="22"/>
              </w:rPr>
              <w:t>≤25</w:t>
            </w:r>
          </w:p>
        </w:tc>
        <w:tc>
          <w:tcPr>
            <w:tcW w:w="618" w:type="pct"/>
            <w:vMerge w:val="continue"/>
            <w:shd w:val="clear" w:color="auto" w:fill="auto"/>
            <w:vAlign w:val="center"/>
          </w:tcPr>
          <w:p w14:paraId="7EEE3762">
            <w:pPr>
              <w:pStyle w:val="10"/>
              <w:widowControl w:val="0"/>
              <w:rPr>
                <w:rFonts w:hint="default"/>
                <w:kern w:val="2"/>
                <w:szCs w:val="22"/>
              </w:rPr>
            </w:pPr>
          </w:p>
        </w:tc>
      </w:tr>
      <w:tr w14:paraId="64546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1ABFD71F">
            <w:pPr>
              <w:pStyle w:val="10"/>
              <w:widowControl w:val="0"/>
              <w:rPr>
                <w:rFonts w:hint="default"/>
                <w:kern w:val="2"/>
                <w:szCs w:val="22"/>
              </w:rPr>
            </w:pPr>
          </w:p>
        </w:tc>
        <w:tc>
          <w:tcPr>
            <w:tcW w:w="743" w:type="pct"/>
            <w:shd w:val="clear" w:color="auto" w:fill="auto"/>
            <w:vAlign w:val="center"/>
          </w:tcPr>
          <w:p w14:paraId="6AB94164">
            <w:pPr>
              <w:pStyle w:val="10"/>
              <w:widowControl w:val="0"/>
              <w:rPr>
                <w:rFonts w:hint="default"/>
                <w:kern w:val="2"/>
                <w:szCs w:val="22"/>
              </w:rPr>
            </w:pPr>
            <w:r>
              <w:rPr>
                <w:kern w:val="2"/>
                <w:szCs w:val="22"/>
              </w:rPr>
              <w:t>五氯苯酚（mg/kg）</w:t>
            </w:r>
          </w:p>
        </w:tc>
        <w:tc>
          <w:tcPr>
            <w:tcW w:w="699" w:type="pct"/>
            <w:shd w:val="clear" w:color="auto" w:fill="auto"/>
            <w:vAlign w:val="center"/>
          </w:tcPr>
          <w:p w14:paraId="1E8AD4EC">
            <w:pPr>
              <w:pStyle w:val="10"/>
              <w:widowControl w:val="0"/>
              <w:rPr>
                <w:rFonts w:hint="default"/>
                <w:kern w:val="2"/>
                <w:szCs w:val="22"/>
              </w:rPr>
            </w:pPr>
            <w:r>
              <w:rPr>
                <w:kern w:val="2"/>
                <w:szCs w:val="22"/>
              </w:rPr>
              <w:t>实木部件</w:t>
            </w:r>
          </w:p>
        </w:tc>
        <w:tc>
          <w:tcPr>
            <w:tcW w:w="841" w:type="pct"/>
            <w:shd w:val="clear" w:color="auto" w:fill="auto"/>
            <w:vAlign w:val="center"/>
          </w:tcPr>
          <w:p w14:paraId="4AC02F48">
            <w:pPr>
              <w:pStyle w:val="10"/>
              <w:widowControl w:val="0"/>
              <w:rPr>
                <w:rFonts w:hint="default"/>
                <w:kern w:val="2"/>
                <w:szCs w:val="22"/>
              </w:rPr>
            </w:pPr>
            <w:r>
              <w:rPr>
                <w:kern w:val="2"/>
                <w:szCs w:val="22"/>
              </w:rPr>
              <w:t>≤5</w:t>
            </w:r>
          </w:p>
        </w:tc>
        <w:tc>
          <w:tcPr>
            <w:tcW w:w="803" w:type="pct"/>
            <w:shd w:val="clear" w:color="auto" w:fill="auto"/>
            <w:vAlign w:val="center"/>
          </w:tcPr>
          <w:p w14:paraId="7A8A40F5">
            <w:pPr>
              <w:pStyle w:val="10"/>
              <w:widowControl w:val="0"/>
              <w:rPr>
                <w:rFonts w:hint="default"/>
                <w:kern w:val="2"/>
                <w:szCs w:val="22"/>
              </w:rPr>
            </w:pPr>
          </w:p>
        </w:tc>
        <w:tc>
          <w:tcPr>
            <w:tcW w:w="875" w:type="pct"/>
            <w:shd w:val="clear" w:color="auto" w:fill="auto"/>
            <w:vAlign w:val="center"/>
          </w:tcPr>
          <w:p w14:paraId="1A018D51">
            <w:pPr>
              <w:pStyle w:val="10"/>
              <w:widowControl w:val="0"/>
              <w:rPr>
                <w:rFonts w:hint="default"/>
                <w:kern w:val="2"/>
                <w:szCs w:val="22"/>
              </w:rPr>
            </w:pPr>
            <w:r>
              <w:rPr>
                <w:kern w:val="2"/>
                <w:szCs w:val="22"/>
              </w:rPr>
              <w:t>≤5</w:t>
            </w:r>
          </w:p>
        </w:tc>
        <w:tc>
          <w:tcPr>
            <w:tcW w:w="618" w:type="pct"/>
            <w:vMerge w:val="continue"/>
            <w:shd w:val="clear" w:color="auto" w:fill="auto"/>
            <w:vAlign w:val="center"/>
          </w:tcPr>
          <w:p w14:paraId="65990B16">
            <w:pPr>
              <w:pStyle w:val="10"/>
              <w:widowControl w:val="0"/>
              <w:rPr>
                <w:rFonts w:hint="default"/>
                <w:kern w:val="2"/>
                <w:szCs w:val="22"/>
              </w:rPr>
            </w:pPr>
          </w:p>
        </w:tc>
      </w:tr>
      <w:tr w14:paraId="235A20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61CABC03">
            <w:pPr>
              <w:pStyle w:val="10"/>
              <w:widowControl w:val="0"/>
              <w:rPr>
                <w:rFonts w:hint="default"/>
                <w:kern w:val="2"/>
                <w:szCs w:val="22"/>
              </w:rPr>
            </w:pPr>
          </w:p>
        </w:tc>
        <w:tc>
          <w:tcPr>
            <w:tcW w:w="743" w:type="pct"/>
            <w:shd w:val="clear" w:color="auto" w:fill="auto"/>
            <w:vAlign w:val="center"/>
          </w:tcPr>
          <w:p w14:paraId="400D7141">
            <w:pPr>
              <w:pStyle w:val="10"/>
              <w:widowControl w:val="0"/>
              <w:rPr>
                <w:rFonts w:hint="default"/>
                <w:kern w:val="2"/>
                <w:szCs w:val="22"/>
              </w:rPr>
            </w:pPr>
            <w:r>
              <w:rPr>
                <w:kern w:val="2"/>
                <w:szCs w:val="22"/>
              </w:rPr>
              <w:t>苯并[a]芘（mg/kg）</w:t>
            </w:r>
          </w:p>
        </w:tc>
        <w:tc>
          <w:tcPr>
            <w:tcW w:w="699" w:type="pct"/>
            <w:vMerge w:val="restart"/>
            <w:shd w:val="clear" w:color="auto" w:fill="auto"/>
            <w:vAlign w:val="center"/>
          </w:tcPr>
          <w:p w14:paraId="0D104169">
            <w:pPr>
              <w:pStyle w:val="10"/>
              <w:widowControl w:val="0"/>
              <w:rPr>
                <w:rFonts w:hint="default" w:eastAsia="宋体"/>
                <w:kern w:val="2"/>
                <w:szCs w:val="22"/>
                <w:lang w:val="en-US" w:eastAsia="zh-CN"/>
              </w:rPr>
            </w:pPr>
            <w:r>
              <w:rPr>
                <w:rFonts w:hint="eastAsia"/>
                <w:kern w:val="2"/>
                <w:szCs w:val="22"/>
                <w:lang w:val="en-US" w:eastAsia="zh-CN"/>
              </w:rPr>
              <w:t>塑料部件</w:t>
            </w:r>
          </w:p>
        </w:tc>
        <w:tc>
          <w:tcPr>
            <w:tcW w:w="841" w:type="pct"/>
            <w:shd w:val="clear" w:color="auto" w:fill="auto"/>
            <w:vAlign w:val="center"/>
          </w:tcPr>
          <w:p w14:paraId="09227959">
            <w:pPr>
              <w:pStyle w:val="10"/>
              <w:widowControl w:val="0"/>
              <w:rPr>
                <w:rFonts w:hint="default" w:eastAsia="宋体"/>
                <w:kern w:val="2"/>
                <w:szCs w:val="22"/>
                <w:lang w:val="en-US" w:eastAsia="zh-CN"/>
              </w:rPr>
            </w:pPr>
            <w:r>
              <w:rPr>
                <w:color w:val="FF0000"/>
                <w:kern w:val="2"/>
                <w:szCs w:val="22"/>
              </w:rPr>
              <w:t>≤0.5</w:t>
            </w:r>
            <w:r>
              <w:rPr>
                <w:rFonts w:hint="eastAsia"/>
                <w:color w:val="FF0000"/>
                <w:kern w:val="2"/>
                <w:szCs w:val="22"/>
                <w:lang w:val="en-US" w:eastAsia="zh-CN"/>
              </w:rPr>
              <w:t>(1.0)</w:t>
            </w:r>
          </w:p>
        </w:tc>
        <w:tc>
          <w:tcPr>
            <w:tcW w:w="803" w:type="pct"/>
            <w:shd w:val="clear" w:color="auto" w:fill="auto"/>
            <w:vAlign w:val="center"/>
          </w:tcPr>
          <w:p w14:paraId="212B5B68">
            <w:pPr>
              <w:pStyle w:val="10"/>
              <w:widowControl w:val="0"/>
              <w:rPr>
                <w:rFonts w:hint="default"/>
                <w:kern w:val="2"/>
                <w:szCs w:val="22"/>
              </w:rPr>
            </w:pPr>
          </w:p>
        </w:tc>
        <w:tc>
          <w:tcPr>
            <w:tcW w:w="875" w:type="pct"/>
            <w:shd w:val="clear" w:color="auto" w:fill="auto"/>
            <w:vAlign w:val="center"/>
          </w:tcPr>
          <w:p w14:paraId="14516C19">
            <w:pPr>
              <w:pStyle w:val="10"/>
              <w:widowControl w:val="0"/>
              <w:rPr>
                <w:rFonts w:hint="default"/>
                <w:kern w:val="2"/>
                <w:szCs w:val="22"/>
              </w:rPr>
            </w:pPr>
            <w:r>
              <w:rPr>
                <w:color w:val="FF0000"/>
                <w:kern w:val="2"/>
                <w:szCs w:val="22"/>
              </w:rPr>
              <w:t>≤0.5</w:t>
            </w:r>
          </w:p>
        </w:tc>
        <w:tc>
          <w:tcPr>
            <w:tcW w:w="618" w:type="pct"/>
            <w:vMerge w:val="continue"/>
            <w:shd w:val="clear" w:color="auto" w:fill="auto"/>
            <w:vAlign w:val="center"/>
          </w:tcPr>
          <w:p w14:paraId="406A4883">
            <w:pPr>
              <w:pStyle w:val="10"/>
              <w:widowControl w:val="0"/>
              <w:rPr>
                <w:rFonts w:hint="default"/>
                <w:kern w:val="2"/>
                <w:szCs w:val="22"/>
              </w:rPr>
            </w:pPr>
          </w:p>
        </w:tc>
      </w:tr>
      <w:tr w14:paraId="14DCD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6DBAD476">
            <w:pPr>
              <w:pStyle w:val="10"/>
              <w:widowControl w:val="0"/>
              <w:rPr>
                <w:rFonts w:hint="default"/>
                <w:kern w:val="2"/>
                <w:szCs w:val="22"/>
              </w:rPr>
            </w:pPr>
          </w:p>
        </w:tc>
        <w:tc>
          <w:tcPr>
            <w:tcW w:w="743" w:type="pct"/>
            <w:shd w:val="clear" w:color="auto" w:fill="auto"/>
            <w:vAlign w:val="center"/>
          </w:tcPr>
          <w:p w14:paraId="07D6EB77">
            <w:pPr>
              <w:pStyle w:val="10"/>
              <w:widowControl w:val="0"/>
              <w:rPr>
                <w:rFonts w:hint="default"/>
                <w:kern w:val="2"/>
                <w:szCs w:val="22"/>
              </w:rPr>
            </w:pPr>
            <w:r>
              <w:rPr>
                <w:highlight w:val="none"/>
              </w:rPr>
              <w:t>多环芳烃</w:t>
            </w:r>
            <w:r>
              <w:rPr>
                <w:rFonts w:hint="eastAsia"/>
                <w:highlight w:val="none"/>
                <w:lang w:eastAsia="zh-CN"/>
              </w:rPr>
              <w:t>（</w:t>
            </w:r>
            <w:r>
              <w:rPr>
                <w:rFonts w:hint="eastAsia"/>
                <w:highlight w:val="none"/>
                <w:lang w:val="en-US" w:eastAsia="zh-CN"/>
              </w:rPr>
              <w:t>16种</w:t>
            </w:r>
            <w:r>
              <w:rPr>
                <w:highlight w:val="none"/>
              </w:rPr>
              <w:t>多环芳烃</w:t>
            </w:r>
            <w:r>
              <w:rPr>
                <w:rFonts w:hint="eastAsia"/>
                <w:highlight w:val="none"/>
                <w:lang w:eastAsia="zh-CN"/>
              </w:rPr>
              <w:t>【</w:t>
            </w:r>
            <w:r>
              <w:rPr>
                <w:rFonts w:hint="eastAsia"/>
                <w:highlight w:val="none"/>
                <w:lang w:val="en-US" w:eastAsia="zh-CN"/>
              </w:rPr>
              <w:t>PAH</w:t>
            </w:r>
            <w:r>
              <w:rPr>
                <w:rFonts w:hint="eastAsia"/>
                <w:highlight w:val="none"/>
                <w:lang w:eastAsia="zh-CN"/>
              </w:rPr>
              <w:t>】</w:t>
            </w:r>
            <w:r>
              <w:rPr>
                <w:rFonts w:hint="eastAsia"/>
                <w:highlight w:val="none"/>
                <w:lang w:val="en-US" w:eastAsia="zh-CN"/>
              </w:rPr>
              <w:t>总量</w:t>
            </w:r>
            <w:r>
              <w:rPr>
                <w:rFonts w:hint="eastAsia"/>
                <w:highlight w:val="none"/>
                <w:lang w:eastAsia="zh-CN"/>
              </w:rPr>
              <w:t>）</w:t>
            </w:r>
            <w:r>
              <w:t>（mg/kg</w:t>
            </w:r>
          </w:p>
        </w:tc>
        <w:tc>
          <w:tcPr>
            <w:tcW w:w="699" w:type="pct"/>
            <w:vMerge w:val="continue"/>
            <w:shd w:val="clear" w:color="auto" w:fill="auto"/>
            <w:vAlign w:val="center"/>
          </w:tcPr>
          <w:p w14:paraId="57E47A89">
            <w:pPr>
              <w:pStyle w:val="10"/>
              <w:widowControl w:val="0"/>
              <w:rPr>
                <w:rFonts w:hint="default"/>
                <w:kern w:val="2"/>
                <w:szCs w:val="22"/>
              </w:rPr>
            </w:pPr>
          </w:p>
        </w:tc>
        <w:tc>
          <w:tcPr>
            <w:tcW w:w="841" w:type="pct"/>
            <w:shd w:val="clear" w:color="auto" w:fill="auto"/>
            <w:vAlign w:val="center"/>
          </w:tcPr>
          <w:p w14:paraId="619FB696">
            <w:pPr>
              <w:pStyle w:val="10"/>
              <w:widowControl w:val="0"/>
              <w:rPr>
                <w:rFonts w:hint="default"/>
                <w:kern w:val="2"/>
                <w:szCs w:val="22"/>
              </w:rPr>
            </w:pPr>
            <w:r>
              <w:rPr>
                <w:color w:val="FF0000"/>
              </w:rPr>
              <w:t>≤</w:t>
            </w:r>
            <w:r>
              <w:rPr>
                <w:rFonts w:hint="eastAsia"/>
                <w:color w:val="FF0000"/>
                <w:lang w:val="en-US" w:eastAsia="zh-CN"/>
              </w:rPr>
              <w:t>10</w:t>
            </w:r>
          </w:p>
        </w:tc>
        <w:tc>
          <w:tcPr>
            <w:tcW w:w="803" w:type="pct"/>
            <w:shd w:val="clear" w:color="auto" w:fill="auto"/>
            <w:vAlign w:val="center"/>
          </w:tcPr>
          <w:p w14:paraId="307C5931">
            <w:pPr>
              <w:pStyle w:val="10"/>
              <w:widowControl w:val="0"/>
              <w:rPr>
                <w:rFonts w:hint="default"/>
                <w:kern w:val="2"/>
                <w:szCs w:val="22"/>
              </w:rPr>
            </w:pPr>
          </w:p>
        </w:tc>
        <w:tc>
          <w:tcPr>
            <w:tcW w:w="875" w:type="pct"/>
            <w:shd w:val="clear" w:color="auto" w:fill="auto"/>
            <w:vAlign w:val="center"/>
          </w:tcPr>
          <w:p w14:paraId="1E3B099A">
            <w:pPr>
              <w:pStyle w:val="10"/>
              <w:widowControl w:val="0"/>
              <w:rPr>
                <w:rFonts w:hint="default"/>
                <w:kern w:val="2"/>
                <w:szCs w:val="22"/>
              </w:rPr>
            </w:pPr>
          </w:p>
        </w:tc>
        <w:tc>
          <w:tcPr>
            <w:tcW w:w="618" w:type="pct"/>
            <w:vMerge w:val="restart"/>
            <w:shd w:val="clear" w:color="auto" w:fill="auto"/>
            <w:vAlign w:val="center"/>
          </w:tcPr>
          <w:p w14:paraId="637A8451">
            <w:pPr>
              <w:pStyle w:val="10"/>
              <w:widowControl w:val="0"/>
              <w:rPr>
                <w:rFonts w:hint="default"/>
                <w:kern w:val="2"/>
                <w:szCs w:val="22"/>
              </w:rPr>
            </w:pPr>
          </w:p>
          <w:p w14:paraId="778D2511">
            <w:pPr>
              <w:pStyle w:val="10"/>
              <w:widowControl w:val="0"/>
              <w:rPr>
                <w:rFonts w:hint="eastAsia" w:eastAsia="宋体"/>
                <w:kern w:val="2"/>
                <w:szCs w:val="22"/>
                <w:lang w:eastAsia="zh-CN"/>
              </w:rPr>
            </w:pPr>
            <w:r>
              <w:rPr>
                <w:highlight w:val="none"/>
              </w:rPr>
              <w:t>GB</w:t>
            </w:r>
            <w:r>
              <w:rPr>
                <w:rFonts w:hint="default"/>
                <w:highlight w:val="none"/>
              </w:rPr>
              <w:t xml:space="preserve"> 28481</w:t>
            </w:r>
            <w:r>
              <w:rPr>
                <w:rFonts w:hint="eastAsia"/>
                <w:highlight w:val="none"/>
                <w:lang w:eastAsia="zh-CN"/>
              </w:rPr>
              <w:t>《塑料家具有害物质限量》</w:t>
            </w:r>
          </w:p>
        </w:tc>
      </w:tr>
      <w:tr w14:paraId="5DEE0D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2A68F9E5">
            <w:pPr>
              <w:pStyle w:val="10"/>
              <w:widowControl w:val="0"/>
              <w:rPr>
                <w:rFonts w:hint="default"/>
                <w:kern w:val="2"/>
                <w:szCs w:val="22"/>
              </w:rPr>
            </w:pPr>
          </w:p>
        </w:tc>
        <w:tc>
          <w:tcPr>
            <w:tcW w:w="743" w:type="pct"/>
            <w:shd w:val="clear" w:color="auto" w:fill="auto"/>
            <w:vAlign w:val="center"/>
          </w:tcPr>
          <w:p w14:paraId="1505CDAF">
            <w:pPr>
              <w:pStyle w:val="10"/>
              <w:widowControl w:val="0"/>
              <w:rPr>
                <w:highlight w:val="none"/>
              </w:rPr>
            </w:pPr>
            <w:r>
              <w:rPr>
                <w:highlight w:val="none"/>
              </w:rPr>
              <w:t>多溴</w:t>
            </w:r>
            <w:r>
              <w:rPr>
                <w:rFonts w:hint="default"/>
                <w:highlight w:val="none"/>
              </w:rPr>
              <w:t>联苯</w:t>
            </w:r>
            <w:r>
              <w:rPr>
                <w:highlight w:val="none"/>
              </w:rPr>
              <w:t>、</w:t>
            </w:r>
            <w:r>
              <w:rPr>
                <w:rFonts w:hint="default"/>
                <w:highlight w:val="none"/>
              </w:rPr>
              <w:t>多溴</w:t>
            </w:r>
            <w:r>
              <w:rPr>
                <w:highlight w:val="none"/>
              </w:rPr>
              <w:t>二</w:t>
            </w:r>
            <w:r>
              <w:rPr>
                <w:rFonts w:hint="default"/>
                <w:highlight w:val="none"/>
              </w:rPr>
              <w:t>苯醚</w:t>
            </w:r>
            <w:r>
              <w:t>（mg/kg）</w:t>
            </w:r>
          </w:p>
        </w:tc>
        <w:tc>
          <w:tcPr>
            <w:tcW w:w="699" w:type="pct"/>
            <w:vMerge w:val="continue"/>
            <w:shd w:val="clear" w:color="auto" w:fill="auto"/>
            <w:vAlign w:val="center"/>
          </w:tcPr>
          <w:p w14:paraId="5F1A2C4C">
            <w:pPr>
              <w:pStyle w:val="10"/>
              <w:widowControl w:val="0"/>
              <w:rPr>
                <w:rFonts w:hint="default"/>
                <w:kern w:val="2"/>
                <w:szCs w:val="22"/>
              </w:rPr>
            </w:pPr>
          </w:p>
        </w:tc>
        <w:tc>
          <w:tcPr>
            <w:tcW w:w="841" w:type="pct"/>
            <w:shd w:val="clear" w:color="auto" w:fill="auto"/>
            <w:vAlign w:val="center"/>
          </w:tcPr>
          <w:p w14:paraId="7E9BB90E">
            <w:pPr>
              <w:pStyle w:val="10"/>
              <w:widowControl w:val="0"/>
              <w:rPr>
                <w:rFonts w:hint="default"/>
                <w:kern w:val="2"/>
                <w:szCs w:val="22"/>
              </w:rPr>
            </w:pPr>
            <w:r>
              <w:rPr>
                <w:color w:val="FF0000"/>
              </w:rPr>
              <w:t>≤</w:t>
            </w:r>
            <w:r>
              <w:rPr>
                <w:rFonts w:hint="eastAsia"/>
                <w:color w:val="FF0000"/>
                <w:lang w:val="en-US" w:eastAsia="zh-CN"/>
              </w:rPr>
              <w:t>1000</w:t>
            </w:r>
          </w:p>
        </w:tc>
        <w:tc>
          <w:tcPr>
            <w:tcW w:w="803" w:type="pct"/>
            <w:shd w:val="clear" w:color="auto" w:fill="auto"/>
            <w:vAlign w:val="center"/>
          </w:tcPr>
          <w:p w14:paraId="3C536D4B">
            <w:pPr>
              <w:pStyle w:val="10"/>
              <w:widowControl w:val="0"/>
              <w:rPr>
                <w:rFonts w:hint="default"/>
                <w:kern w:val="2"/>
                <w:szCs w:val="22"/>
              </w:rPr>
            </w:pPr>
          </w:p>
        </w:tc>
        <w:tc>
          <w:tcPr>
            <w:tcW w:w="875" w:type="pct"/>
            <w:shd w:val="clear" w:color="auto" w:fill="auto"/>
            <w:vAlign w:val="center"/>
          </w:tcPr>
          <w:p w14:paraId="480BF20C">
            <w:pPr>
              <w:pStyle w:val="10"/>
              <w:widowControl w:val="0"/>
              <w:rPr>
                <w:rFonts w:hint="default"/>
                <w:kern w:val="2"/>
                <w:szCs w:val="22"/>
              </w:rPr>
            </w:pPr>
          </w:p>
        </w:tc>
        <w:tc>
          <w:tcPr>
            <w:tcW w:w="618" w:type="pct"/>
            <w:vMerge w:val="continue"/>
            <w:shd w:val="clear" w:color="auto" w:fill="auto"/>
            <w:vAlign w:val="center"/>
          </w:tcPr>
          <w:p w14:paraId="5225A44E">
            <w:pPr>
              <w:pStyle w:val="10"/>
              <w:widowControl w:val="0"/>
              <w:rPr>
                <w:rFonts w:hint="default"/>
                <w:kern w:val="2"/>
                <w:szCs w:val="22"/>
              </w:rPr>
            </w:pPr>
          </w:p>
        </w:tc>
      </w:tr>
      <w:tr w14:paraId="3B881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5EB856C4">
            <w:pPr>
              <w:pStyle w:val="10"/>
              <w:widowControl w:val="0"/>
              <w:rPr>
                <w:rFonts w:hint="default"/>
                <w:kern w:val="2"/>
                <w:szCs w:val="22"/>
              </w:rPr>
            </w:pPr>
          </w:p>
        </w:tc>
        <w:tc>
          <w:tcPr>
            <w:tcW w:w="743" w:type="pct"/>
            <w:shd w:val="clear" w:color="auto" w:fill="auto"/>
            <w:vAlign w:val="center"/>
          </w:tcPr>
          <w:p w14:paraId="22CD69AC">
            <w:pPr>
              <w:pStyle w:val="10"/>
              <w:widowControl w:val="0"/>
              <w:ind w:firstLine="0" w:firstLineChars="0"/>
              <w:rPr>
                <w:rFonts w:hint="eastAsia" w:ascii="宋体" w:hAnsi="Times New Roman" w:eastAsia="宋体" w:cs="宋体"/>
                <w:sz w:val="18"/>
                <w:highlight w:val="none"/>
                <w:lang w:val="en-US" w:eastAsia="zh-CN" w:bidi="ar-SA"/>
              </w:rPr>
            </w:pPr>
            <w:r>
              <w:rPr>
                <w:highlight w:val="none"/>
              </w:rPr>
              <w:t>重金属</w:t>
            </w:r>
            <w:r>
              <w:t>（mg/kg）</w:t>
            </w:r>
          </w:p>
        </w:tc>
        <w:tc>
          <w:tcPr>
            <w:tcW w:w="699" w:type="pct"/>
            <w:vMerge w:val="continue"/>
            <w:shd w:val="clear" w:color="auto" w:fill="auto"/>
            <w:vAlign w:val="center"/>
          </w:tcPr>
          <w:p w14:paraId="5A4F11D5">
            <w:pPr>
              <w:pStyle w:val="10"/>
              <w:widowControl w:val="0"/>
              <w:rPr>
                <w:rFonts w:hint="default"/>
                <w:kern w:val="2"/>
                <w:szCs w:val="22"/>
              </w:rPr>
            </w:pPr>
          </w:p>
        </w:tc>
        <w:tc>
          <w:tcPr>
            <w:tcW w:w="841" w:type="pct"/>
            <w:shd w:val="clear" w:color="auto" w:fill="auto"/>
            <w:vAlign w:val="center"/>
          </w:tcPr>
          <w:p w14:paraId="0C09D6E2">
            <w:pPr>
              <w:pStyle w:val="10"/>
              <w:widowControl w:val="0"/>
              <w:rPr>
                <w:rFonts w:hint="default"/>
                <w:kern w:val="2"/>
                <w:szCs w:val="22"/>
              </w:rPr>
            </w:pPr>
            <w:r>
              <w:rPr>
                <w:rFonts w:hint="default"/>
                <w:kern w:val="2"/>
                <w:szCs w:val="22"/>
              </w:rPr>
              <w:t>可溶性铅：≤90</w:t>
            </w:r>
          </w:p>
          <w:p w14:paraId="373F5044">
            <w:pPr>
              <w:pStyle w:val="10"/>
              <w:widowControl w:val="0"/>
              <w:rPr>
                <w:rFonts w:hint="default"/>
                <w:kern w:val="2"/>
                <w:szCs w:val="22"/>
              </w:rPr>
            </w:pPr>
            <w:r>
              <w:rPr>
                <w:rFonts w:hint="default"/>
                <w:kern w:val="2"/>
                <w:szCs w:val="22"/>
              </w:rPr>
              <w:t>可溶性镉：≤75</w:t>
            </w:r>
          </w:p>
          <w:p w14:paraId="20F94A0B">
            <w:pPr>
              <w:pStyle w:val="10"/>
              <w:widowControl w:val="0"/>
              <w:rPr>
                <w:rFonts w:hint="default"/>
                <w:kern w:val="2"/>
                <w:szCs w:val="22"/>
              </w:rPr>
            </w:pPr>
            <w:r>
              <w:rPr>
                <w:rFonts w:hint="default"/>
                <w:kern w:val="2"/>
                <w:szCs w:val="22"/>
              </w:rPr>
              <w:t>可溶性铬：≤60</w:t>
            </w:r>
          </w:p>
          <w:p w14:paraId="2F2B27A1">
            <w:pPr>
              <w:pStyle w:val="10"/>
              <w:widowControl w:val="0"/>
              <w:rPr>
                <w:rFonts w:hint="default"/>
                <w:kern w:val="2"/>
                <w:szCs w:val="22"/>
              </w:rPr>
            </w:pPr>
            <w:r>
              <w:rPr>
                <w:rFonts w:hint="default"/>
                <w:kern w:val="2"/>
                <w:szCs w:val="22"/>
              </w:rPr>
              <w:t>可溶性汞：≤60</w:t>
            </w:r>
          </w:p>
        </w:tc>
        <w:tc>
          <w:tcPr>
            <w:tcW w:w="803" w:type="pct"/>
            <w:shd w:val="clear" w:color="auto" w:fill="auto"/>
            <w:vAlign w:val="center"/>
          </w:tcPr>
          <w:p w14:paraId="31B17D98">
            <w:pPr>
              <w:pStyle w:val="10"/>
              <w:widowControl w:val="0"/>
              <w:rPr>
                <w:rFonts w:hint="default"/>
                <w:kern w:val="2"/>
                <w:szCs w:val="22"/>
              </w:rPr>
            </w:pPr>
          </w:p>
        </w:tc>
        <w:tc>
          <w:tcPr>
            <w:tcW w:w="875" w:type="pct"/>
            <w:shd w:val="clear" w:color="auto" w:fill="auto"/>
            <w:vAlign w:val="center"/>
          </w:tcPr>
          <w:p w14:paraId="614125A1">
            <w:pPr>
              <w:pStyle w:val="10"/>
              <w:widowControl w:val="0"/>
              <w:rPr>
                <w:rFonts w:hint="default"/>
                <w:kern w:val="2"/>
                <w:szCs w:val="22"/>
              </w:rPr>
            </w:pPr>
          </w:p>
        </w:tc>
        <w:tc>
          <w:tcPr>
            <w:tcW w:w="618" w:type="pct"/>
            <w:vMerge w:val="continue"/>
            <w:shd w:val="clear" w:color="auto" w:fill="auto"/>
            <w:vAlign w:val="center"/>
          </w:tcPr>
          <w:p w14:paraId="5BF5E6DC">
            <w:pPr>
              <w:pStyle w:val="10"/>
              <w:widowControl w:val="0"/>
              <w:rPr>
                <w:rFonts w:hint="default"/>
                <w:kern w:val="2"/>
                <w:szCs w:val="22"/>
              </w:rPr>
            </w:pPr>
          </w:p>
        </w:tc>
      </w:tr>
      <w:tr w14:paraId="79B519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417" w:type="pct"/>
            <w:vMerge w:val="continue"/>
            <w:shd w:val="clear" w:color="auto" w:fill="auto"/>
            <w:vAlign w:val="center"/>
          </w:tcPr>
          <w:p w14:paraId="4624989E">
            <w:pPr>
              <w:pStyle w:val="10"/>
              <w:widowControl w:val="0"/>
              <w:rPr>
                <w:rFonts w:hint="default"/>
                <w:kern w:val="2"/>
                <w:szCs w:val="22"/>
              </w:rPr>
            </w:pPr>
          </w:p>
        </w:tc>
        <w:tc>
          <w:tcPr>
            <w:tcW w:w="743" w:type="pct"/>
            <w:shd w:val="clear" w:color="auto" w:fill="auto"/>
            <w:vAlign w:val="center"/>
          </w:tcPr>
          <w:p w14:paraId="75AEF7E0">
            <w:pPr>
              <w:pStyle w:val="10"/>
              <w:widowControl w:val="0"/>
              <w:ind w:firstLine="0" w:firstLineChars="0"/>
              <w:rPr>
                <w:rFonts w:hint="default" w:ascii="宋体" w:hAnsi="Times New Roman" w:eastAsia="宋体" w:cs="宋体"/>
                <w:kern w:val="2"/>
                <w:sz w:val="18"/>
                <w:szCs w:val="22"/>
                <w:lang w:val="en-US" w:eastAsia="zh-CN" w:bidi="ar-SA"/>
              </w:rPr>
            </w:pPr>
            <w:r>
              <w:rPr>
                <w:highlight w:val="none"/>
              </w:rPr>
              <w:t>邻苯二甲酸酯</w:t>
            </w:r>
            <w:r>
              <w:rPr>
                <w:rFonts w:hint="eastAsia"/>
                <w:highlight w:val="none"/>
                <w:lang w:val="en-US" w:eastAsia="zh-CN"/>
              </w:rPr>
              <w:t xml:space="preserve"> %</w:t>
            </w:r>
          </w:p>
        </w:tc>
        <w:tc>
          <w:tcPr>
            <w:tcW w:w="699" w:type="pct"/>
            <w:vMerge w:val="continue"/>
            <w:shd w:val="clear" w:color="auto" w:fill="auto"/>
            <w:vAlign w:val="center"/>
          </w:tcPr>
          <w:p w14:paraId="5FCE5F0A">
            <w:pPr>
              <w:pStyle w:val="10"/>
              <w:widowControl w:val="0"/>
              <w:rPr>
                <w:rFonts w:hint="default"/>
                <w:kern w:val="2"/>
                <w:szCs w:val="22"/>
              </w:rPr>
            </w:pPr>
          </w:p>
        </w:tc>
        <w:tc>
          <w:tcPr>
            <w:tcW w:w="841" w:type="pct"/>
            <w:shd w:val="clear" w:color="auto" w:fill="auto"/>
            <w:vAlign w:val="center"/>
          </w:tcPr>
          <w:p w14:paraId="732C2298">
            <w:pPr>
              <w:pStyle w:val="10"/>
              <w:widowControl w:val="0"/>
              <w:rPr>
                <w:rFonts w:hint="default"/>
                <w:kern w:val="2"/>
                <w:szCs w:val="22"/>
              </w:rPr>
            </w:pPr>
            <w:r>
              <w:rPr>
                <w:color w:val="FF0000"/>
              </w:rPr>
              <w:t>≤</w:t>
            </w:r>
            <w:r>
              <w:rPr>
                <w:rFonts w:hint="eastAsia"/>
                <w:color w:val="FF0000"/>
                <w:lang w:val="en-US" w:eastAsia="zh-CN"/>
              </w:rPr>
              <w:t>0.1</w:t>
            </w:r>
          </w:p>
        </w:tc>
        <w:tc>
          <w:tcPr>
            <w:tcW w:w="803" w:type="pct"/>
            <w:shd w:val="clear" w:color="auto" w:fill="auto"/>
            <w:vAlign w:val="center"/>
          </w:tcPr>
          <w:p w14:paraId="59902AD3">
            <w:pPr>
              <w:pStyle w:val="10"/>
              <w:widowControl w:val="0"/>
              <w:rPr>
                <w:rFonts w:hint="default"/>
                <w:kern w:val="2"/>
                <w:szCs w:val="22"/>
              </w:rPr>
            </w:pPr>
          </w:p>
        </w:tc>
        <w:tc>
          <w:tcPr>
            <w:tcW w:w="875" w:type="pct"/>
            <w:shd w:val="clear" w:color="auto" w:fill="auto"/>
            <w:vAlign w:val="center"/>
          </w:tcPr>
          <w:p w14:paraId="0DFC34FF">
            <w:pPr>
              <w:pStyle w:val="10"/>
              <w:widowControl w:val="0"/>
              <w:rPr>
                <w:rFonts w:hint="default"/>
                <w:kern w:val="2"/>
                <w:szCs w:val="22"/>
              </w:rPr>
            </w:pPr>
          </w:p>
        </w:tc>
        <w:tc>
          <w:tcPr>
            <w:tcW w:w="618" w:type="pct"/>
            <w:vMerge w:val="continue"/>
            <w:shd w:val="clear" w:color="auto" w:fill="auto"/>
            <w:vAlign w:val="center"/>
          </w:tcPr>
          <w:p w14:paraId="111F63B4">
            <w:pPr>
              <w:pStyle w:val="10"/>
              <w:widowControl w:val="0"/>
              <w:rPr>
                <w:rFonts w:hint="default"/>
                <w:kern w:val="2"/>
                <w:szCs w:val="22"/>
              </w:rPr>
            </w:pPr>
          </w:p>
        </w:tc>
      </w:tr>
      <w:tr w14:paraId="65E98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417" w:type="pct"/>
            <w:vMerge w:val="continue"/>
            <w:shd w:val="clear" w:color="auto" w:fill="auto"/>
            <w:vAlign w:val="center"/>
          </w:tcPr>
          <w:p w14:paraId="3C1AF533">
            <w:pPr>
              <w:pStyle w:val="10"/>
              <w:widowControl w:val="0"/>
              <w:rPr>
                <w:rFonts w:hint="default"/>
                <w:kern w:val="2"/>
                <w:szCs w:val="22"/>
              </w:rPr>
            </w:pPr>
          </w:p>
        </w:tc>
        <w:tc>
          <w:tcPr>
            <w:tcW w:w="743" w:type="pct"/>
            <w:shd w:val="clear" w:color="auto" w:fill="auto"/>
            <w:vAlign w:val="center"/>
          </w:tcPr>
          <w:p w14:paraId="4B55D21C">
            <w:pPr>
              <w:pStyle w:val="10"/>
              <w:widowControl w:val="0"/>
              <w:ind w:firstLine="0" w:firstLineChars="0"/>
              <w:rPr>
                <w:highlight w:val="none"/>
              </w:rPr>
            </w:pPr>
            <w:r>
              <w:rPr>
                <w:rFonts w:hint="eastAsia"/>
                <w:highlight w:val="none"/>
                <w:lang w:val="en-US" w:eastAsia="zh-CN"/>
              </w:rPr>
              <w:t>甲醛含量</w:t>
            </w:r>
            <w:r>
              <w:t>（mg/kg）</w:t>
            </w:r>
          </w:p>
        </w:tc>
        <w:tc>
          <w:tcPr>
            <w:tcW w:w="699" w:type="pct"/>
            <w:vMerge w:val="restart"/>
            <w:shd w:val="clear" w:color="auto" w:fill="auto"/>
            <w:vAlign w:val="center"/>
          </w:tcPr>
          <w:p w14:paraId="24446AA6">
            <w:pPr>
              <w:pStyle w:val="10"/>
              <w:widowControl w:val="0"/>
              <w:rPr>
                <w:rFonts w:hint="default" w:eastAsia="宋体"/>
                <w:kern w:val="2"/>
                <w:szCs w:val="22"/>
                <w:lang w:val="en-US" w:eastAsia="zh-CN"/>
              </w:rPr>
            </w:pPr>
            <w:r>
              <w:rPr>
                <w:rFonts w:hint="eastAsia"/>
                <w:kern w:val="2"/>
                <w:szCs w:val="22"/>
                <w:lang w:val="en-US" w:eastAsia="zh-CN"/>
              </w:rPr>
              <w:t>纺织面料</w:t>
            </w:r>
          </w:p>
        </w:tc>
        <w:tc>
          <w:tcPr>
            <w:tcW w:w="841" w:type="pct"/>
            <w:shd w:val="clear" w:color="auto" w:fill="auto"/>
            <w:vAlign w:val="center"/>
          </w:tcPr>
          <w:p w14:paraId="61A0E03A">
            <w:pPr>
              <w:pStyle w:val="10"/>
              <w:widowControl w:val="0"/>
              <w:ind w:firstLine="0" w:firstLineChars="0"/>
              <w:rPr>
                <w:rFonts w:hint="default"/>
                <w:kern w:val="2"/>
                <w:szCs w:val="22"/>
              </w:rPr>
            </w:pPr>
            <w:r>
              <w:t>≤</w:t>
            </w:r>
            <w:r>
              <w:rPr>
                <w:rFonts w:hint="eastAsia"/>
                <w:lang w:val="en-US" w:eastAsia="zh-CN"/>
              </w:rPr>
              <w:t>30</w:t>
            </w:r>
          </w:p>
        </w:tc>
        <w:tc>
          <w:tcPr>
            <w:tcW w:w="803" w:type="pct"/>
            <w:shd w:val="clear" w:color="auto" w:fill="auto"/>
            <w:vAlign w:val="center"/>
          </w:tcPr>
          <w:p w14:paraId="488165F3">
            <w:pPr>
              <w:pStyle w:val="10"/>
              <w:widowControl w:val="0"/>
              <w:rPr>
                <w:rFonts w:hint="default"/>
                <w:kern w:val="2"/>
                <w:szCs w:val="22"/>
              </w:rPr>
            </w:pPr>
          </w:p>
        </w:tc>
        <w:tc>
          <w:tcPr>
            <w:tcW w:w="875" w:type="pct"/>
            <w:shd w:val="clear" w:color="auto" w:fill="auto"/>
            <w:vAlign w:val="center"/>
          </w:tcPr>
          <w:p w14:paraId="6FC353AA">
            <w:pPr>
              <w:pStyle w:val="10"/>
              <w:widowControl w:val="0"/>
              <w:rPr>
                <w:rFonts w:hint="default"/>
                <w:kern w:val="2"/>
                <w:szCs w:val="22"/>
              </w:rPr>
            </w:pPr>
          </w:p>
        </w:tc>
        <w:tc>
          <w:tcPr>
            <w:tcW w:w="618" w:type="pct"/>
            <w:vMerge w:val="continue"/>
            <w:shd w:val="clear" w:color="auto" w:fill="auto"/>
            <w:vAlign w:val="center"/>
          </w:tcPr>
          <w:p w14:paraId="01A90990">
            <w:pPr>
              <w:pStyle w:val="10"/>
              <w:widowControl w:val="0"/>
              <w:rPr>
                <w:rFonts w:hint="default"/>
                <w:kern w:val="2"/>
                <w:szCs w:val="22"/>
              </w:rPr>
            </w:pPr>
          </w:p>
        </w:tc>
      </w:tr>
      <w:tr w14:paraId="6758F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17" w:type="pct"/>
            <w:vMerge w:val="continue"/>
            <w:shd w:val="clear" w:color="auto" w:fill="auto"/>
            <w:vAlign w:val="center"/>
          </w:tcPr>
          <w:p w14:paraId="37078539">
            <w:pPr>
              <w:pStyle w:val="10"/>
              <w:widowControl w:val="0"/>
              <w:rPr>
                <w:rFonts w:hint="default"/>
                <w:kern w:val="2"/>
                <w:szCs w:val="22"/>
              </w:rPr>
            </w:pPr>
          </w:p>
        </w:tc>
        <w:tc>
          <w:tcPr>
            <w:tcW w:w="743" w:type="pct"/>
            <w:shd w:val="clear" w:color="auto" w:fill="auto"/>
            <w:vAlign w:val="center"/>
          </w:tcPr>
          <w:p w14:paraId="1DD69034">
            <w:pPr>
              <w:pStyle w:val="10"/>
              <w:widowControl w:val="0"/>
              <w:ind w:firstLine="0" w:firstLineChars="0"/>
              <w:rPr>
                <w:rFonts w:hint="default"/>
                <w:kern w:val="2"/>
                <w:szCs w:val="22"/>
              </w:rPr>
            </w:pPr>
            <w:r>
              <w:rPr>
                <w:rFonts w:hint="eastAsia"/>
                <w:highlight w:val="none"/>
                <w:lang w:val="en-US" w:eastAsia="zh-CN"/>
              </w:rPr>
              <w:t>可分解芳香胺</w:t>
            </w:r>
          </w:p>
        </w:tc>
        <w:tc>
          <w:tcPr>
            <w:tcW w:w="699" w:type="pct"/>
            <w:vMerge w:val="continue"/>
            <w:shd w:val="clear" w:color="auto" w:fill="auto"/>
            <w:vAlign w:val="center"/>
          </w:tcPr>
          <w:p w14:paraId="0E2FF27B">
            <w:pPr>
              <w:pStyle w:val="10"/>
              <w:widowControl w:val="0"/>
              <w:rPr>
                <w:rFonts w:hint="default"/>
                <w:kern w:val="2"/>
                <w:szCs w:val="22"/>
              </w:rPr>
            </w:pPr>
          </w:p>
        </w:tc>
        <w:tc>
          <w:tcPr>
            <w:tcW w:w="841" w:type="pct"/>
            <w:shd w:val="clear" w:color="auto" w:fill="auto"/>
            <w:vAlign w:val="center"/>
          </w:tcPr>
          <w:p w14:paraId="7B1B1F6D">
            <w:pPr>
              <w:pStyle w:val="10"/>
              <w:widowControl w:val="0"/>
              <w:ind w:firstLine="0" w:firstLineChars="0"/>
              <w:rPr>
                <w:rFonts w:hint="default"/>
                <w:kern w:val="2"/>
                <w:szCs w:val="22"/>
              </w:rPr>
            </w:pPr>
            <w:r>
              <w:rPr>
                <w:rFonts w:hint="eastAsia"/>
                <w:color w:val="FF0000"/>
                <w:lang w:val="en-US" w:eastAsia="zh-CN"/>
              </w:rPr>
              <w:t>禁用</w:t>
            </w:r>
          </w:p>
        </w:tc>
        <w:tc>
          <w:tcPr>
            <w:tcW w:w="803" w:type="pct"/>
            <w:shd w:val="clear" w:color="auto" w:fill="auto"/>
            <w:vAlign w:val="center"/>
          </w:tcPr>
          <w:p w14:paraId="6B9192C0">
            <w:pPr>
              <w:pStyle w:val="10"/>
              <w:widowControl w:val="0"/>
              <w:rPr>
                <w:rFonts w:hint="default"/>
                <w:kern w:val="2"/>
                <w:szCs w:val="22"/>
              </w:rPr>
            </w:pPr>
          </w:p>
        </w:tc>
        <w:tc>
          <w:tcPr>
            <w:tcW w:w="875" w:type="pct"/>
            <w:shd w:val="clear" w:color="auto" w:fill="auto"/>
            <w:vAlign w:val="center"/>
          </w:tcPr>
          <w:p w14:paraId="24554BA0">
            <w:pPr>
              <w:pStyle w:val="10"/>
              <w:widowControl w:val="0"/>
              <w:rPr>
                <w:rFonts w:hint="default"/>
                <w:kern w:val="2"/>
                <w:szCs w:val="22"/>
              </w:rPr>
            </w:pPr>
          </w:p>
        </w:tc>
        <w:tc>
          <w:tcPr>
            <w:tcW w:w="618" w:type="pct"/>
            <w:vMerge w:val="continue"/>
            <w:shd w:val="clear" w:color="auto" w:fill="auto"/>
            <w:vAlign w:val="center"/>
          </w:tcPr>
          <w:p w14:paraId="02F4769D">
            <w:pPr>
              <w:pStyle w:val="10"/>
              <w:widowControl w:val="0"/>
              <w:rPr>
                <w:rFonts w:hint="default"/>
                <w:kern w:val="2"/>
                <w:szCs w:val="22"/>
              </w:rPr>
            </w:pPr>
          </w:p>
        </w:tc>
      </w:tr>
      <w:tr w14:paraId="04953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17" w:type="pct"/>
            <w:vMerge w:val="restart"/>
            <w:shd w:val="clear" w:color="auto" w:fill="auto"/>
            <w:vAlign w:val="center"/>
          </w:tcPr>
          <w:p w14:paraId="58AF128A">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产品寿命（万次）</w:t>
            </w:r>
          </w:p>
        </w:tc>
        <w:tc>
          <w:tcPr>
            <w:tcW w:w="743" w:type="pct"/>
            <w:shd w:val="clear" w:color="auto" w:fill="auto"/>
            <w:vAlign w:val="center"/>
          </w:tcPr>
          <w:p w14:paraId="67FBDD33">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桌类</w:t>
            </w:r>
          </w:p>
        </w:tc>
        <w:tc>
          <w:tcPr>
            <w:tcW w:w="699" w:type="pct"/>
            <w:shd w:val="clear" w:color="auto" w:fill="auto"/>
            <w:vAlign w:val="center"/>
          </w:tcPr>
          <w:p w14:paraId="1BB289C9">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桌面水平耐久性</w:t>
            </w:r>
          </w:p>
        </w:tc>
        <w:tc>
          <w:tcPr>
            <w:tcW w:w="841" w:type="pct"/>
            <w:shd w:val="clear" w:color="auto" w:fill="auto"/>
            <w:vAlign w:val="center"/>
          </w:tcPr>
          <w:p w14:paraId="457D6EDD">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≥6</w:t>
            </w:r>
          </w:p>
        </w:tc>
        <w:tc>
          <w:tcPr>
            <w:tcW w:w="803" w:type="pct"/>
            <w:shd w:val="clear" w:color="auto" w:fill="auto"/>
            <w:vAlign w:val="center"/>
          </w:tcPr>
          <w:p w14:paraId="4E7CDBAC">
            <w:pPr>
              <w:pStyle w:val="10"/>
              <w:widowControl w:val="0"/>
              <w:ind w:firstLine="0" w:firstLineChars="0"/>
              <w:rPr>
                <w:rFonts w:hint="default" w:ascii="宋体" w:hAnsi="Times New Roman" w:eastAsia="宋体" w:cs="宋体"/>
                <w:kern w:val="2"/>
                <w:sz w:val="18"/>
                <w:szCs w:val="22"/>
                <w:lang w:val="en-US" w:eastAsia="zh-CN" w:bidi="ar-SA"/>
              </w:rPr>
            </w:pPr>
          </w:p>
        </w:tc>
        <w:tc>
          <w:tcPr>
            <w:tcW w:w="875" w:type="pct"/>
            <w:shd w:val="clear" w:color="auto" w:fill="auto"/>
            <w:vAlign w:val="center"/>
          </w:tcPr>
          <w:p w14:paraId="09DFB801">
            <w:pPr>
              <w:pStyle w:val="10"/>
              <w:widowControl w:val="0"/>
              <w:ind w:firstLine="0" w:firstLineChars="0"/>
              <w:rPr>
                <w:rFonts w:hint="default" w:ascii="宋体" w:hAnsi="Times New Roman" w:eastAsia="宋体" w:cs="宋体"/>
                <w:kern w:val="2"/>
                <w:sz w:val="18"/>
                <w:szCs w:val="22"/>
                <w:lang w:val="en-US" w:eastAsia="zh-CN" w:bidi="ar-SA"/>
              </w:rPr>
            </w:pPr>
          </w:p>
        </w:tc>
        <w:tc>
          <w:tcPr>
            <w:tcW w:w="618" w:type="pct"/>
            <w:vMerge w:val="restart"/>
            <w:shd w:val="clear" w:color="auto" w:fill="auto"/>
            <w:vAlign w:val="center"/>
          </w:tcPr>
          <w:p w14:paraId="0D2DA37F">
            <w:pPr>
              <w:pStyle w:val="10"/>
              <w:widowControl w:val="0"/>
              <w:rPr>
                <w:rFonts w:hint="default"/>
                <w:kern w:val="2"/>
                <w:szCs w:val="22"/>
              </w:rPr>
            </w:pPr>
            <w:r>
              <w:rPr>
                <w:kern w:val="2"/>
                <w:szCs w:val="22"/>
              </w:rPr>
              <w:t>GB/T 35607《绿色产品评价 家具》</w:t>
            </w:r>
          </w:p>
        </w:tc>
      </w:tr>
      <w:tr w14:paraId="45C756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17" w:type="pct"/>
            <w:vMerge w:val="continue"/>
            <w:shd w:val="clear" w:color="auto" w:fill="auto"/>
            <w:vAlign w:val="center"/>
          </w:tcPr>
          <w:p w14:paraId="184A20DE">
            <w:pPr>
              <w:pStyle w:val="10"/>
              <w:widowControl w:val="0"/>
              <w:rPr>
                <w:rFonts w:hint="default"/>
                <w:kern w:val="2"/>
                <w:szCs w:val="22"/>
              </w:rPr>
            </w:pPr>
          </w:p>
        </w:tc>
        <w:tc>
          <w:tcPr>
            <w:tcW w:w="743" w:type="pct"/>
            <w:vMerge w:val="restart"/>
            <w:shd w:val="clear" w:color="auto" w:fill="auto"/>
            <w:vAlign w:val="center"/>
          </w:tcPr>
          <w:p w14:paraId="3ED9277C">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椅类</w:t>
            </w:r>
          </w:p>
        </w:tc>
        <w:tc>
          <w:tcPr>
            <w:tcW w:w="699" w:type="pct"/>
            <w:shd w:val="clear" w:color="auto" w:fill="auto"/>
            <w:vAlign w:val="center"/>
          </w:tcPr>
          <w:p w14:paraId="3C3F65F6">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椅座椅背/扶手耐久性</w:t>
            </w:r>
          </w:p>
        </w:tc>
        <w:tc>
          <w:tcPr>
            <w:tcW w:w="841" w:type="pct"/>
            <w:shd w:val="clear" w:color="auto" w:fill="auto"/>
            <w:vAlign w:val="center"/>
          </w:tcPr>
          <w:p w14:paraId="7AC8EE23">
            <w:pPr>
              <w:pStyle w:val="10"/>
              <w:widowControl w:val="0"/>
              <w:ind w:firstLine="0" w:firstLineChars="0"/>
              <w:rPr>
                <w:rFonts w:hint="default" w:ascii="宋体" w:hAnsi="Times New Roman" w:eastAsia="宋体" w:cs="宋体"/>
                <w:kern w:val="2"/>
                <w:sz w:val="18"/>
                <w:szCs w:val="22"/>
                <w:lang w:val="en-US" w:eastAsia="zh-CN" w:bidi="ar-SA"/>
              </w:rPr>
            </w:pPr>
            <w:r>
              <w:rPr>
                <w:kern w:val="2"/>
                <w:szCs w:val="22"/>
              </w:rPr>
              <w:t>≥12/6</w:t>
            </w:r>
          </w:p>
        </w:tc>
        <w:tc>
          <w:tcPr>
            <w:tcW w:w="803" w:type="pct"/>
            <w:shd w:val="clear" w:color="auto" w:fill="auto"/>
            <w:vAlign w:val="center"/>
          </w:tcPr>
          <w:p w14:paraId="7C367706">
            <w:pPr>
              <w:pStyle w:val="10"/>
              <w:widowControl w:val="0"/>
              <w:ind w:firstLine="0" w:firstLineChars="0"/>
              <w:rPr>
                <w:rFonts w:hint="default" w:ascii="宋体" w:hAnsi="Times New Roman" w:eastAsia="宋体" w:cs="宋体"/>
                <w:kern w:val="2"/>
                <w:sz w:val="18"/>
                <w:szCs w:val="22"/>
                <w:lang w:val="en-US" w:eastAsia="zh-CN" w:bidi="ar-SA"/>
              </w:rPr>
            </w:pPr>
          </w:p>
        </w:tc>
        <w:tc>
          <w:tcPr>
            <w:tcW w:w="875" w:type="pct"/>
            <w:shd w:val="clear" w:color="auto" w:fill="auto"/>
            <w:vAlign w:val="center"/>
          </w:tcPr>
          <w:p w14:paraId="1B6BBFA0">
            <w:pPr>
              <w:pStyle w:val="10"/>
              <w:widowControl w:val="0"/>
              <w:ind w:firstLine="0" w:firstLineChars="0"/>
              <w:rPr>
                <w:rFonts w:hint="default" w:ascii="宋体" w:hAnsi="Times New Roman" w:eastAsia="宋体" w:cs="宋体"/>
                <w:kern w:val="2"/>
                <w:sz w:val="18"/>
                <w:szCs w:val="22"/>
                <w:lang w:val="en-US" w:eastAsia="zh-CN" w:bidi="ar-SA"/>
              </w:rPr>
            </w:pPr>
          </w:p>
        </w:tc>
        <w:tc>
          <w:tcPr>
            <w:tcW w:w="618" w:type="pct"/>
            <w:vMerge w:val="continue"/>
            <w:shd w:val="clear" w:color="auto" w:fill="auto"/>
            <w:vAlign w:val="center"/>
          </w:tcPr>
          <w:p w14:paraId="0D7EA4D0">
            <w:pPr>
              <w:pStyle w:val="10"/>
              <w:widowControl w:val="0"/>
              <w:rPr>
                <w:rFonts w:hint="default"/>
                <w:kern w:val="2"/>
                <w:szCs w:val="22"/>
              </w:rPr>
            </w:pPr>
          </w:p>
        </w:tc>
      </w:tr>
      <w:tr w14:paraId="0CE015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17" w:type="pct"/>
            <w:vMerge w:val="continue"/>
            <w:shd w:val="clear" w:color="auto" w:fill="auto"/>
            <w:vAlign w:val="center"/>
          </w:tcPr>
          <w:p w14:paraId="28CF705E">
            <w:pPr>
              <w:pStyle w:val="10"/>
              <w:widowControl w:val="0"/>
              <w:rPr>
                <w:rFonts w:hint="default"/>
                <w:kern w:val="2"/>
                <w:szCs w:val="22"/>
              </w:rPr>
            </w:pPr>
          </w:p>
        </w:tc>
        <w:tc>
          <w:tcPr>
            <w:tcW w:w="743" w:type="pct"/>
            <w:vMerge w:val="continue"/>
            <w:shd w:val="clear" w:color="auto" w:fill="auto"/>
            <w:vAlign w:val="center"/>
          </w:tcPr>
          <w:p w14:paraId="484C4D1E">
            <w:pPr>
              <w:pStyle w:val="10"/>
              <w:widowControl w:val="0"/>
              <w:ind w:firstLine="0" w:firstLineChars="0"/>
              <w:rPr>
                <w:kern w:val="2"/>
                <w:szCs w:val="22"/>
              </w:rPr>
            </w:pPr>
          </w:p>
        </w:tc>
        <w:tc>
          <w:tcPr>
            <w:tcW w:w="699" w:type="pct"/>
            <w:shd w:val="clear" w:color="auto" w:fill="auto"/>
            <w:vAlign w:val="center"/>
          </w:tcPr>
          <w:p w14:paraId="706C7C73">
            <w:pPr>
              <w:pStyle w:val="10"/>
              <w:widowControl w:val="0"/>
              <w:rPr>
                <w:rFonts w:hint="eastAsia"/>
                <w:highlight w:val="none"/>
                <w:lang w:val="en-US" w:eastAsia="zh-CN"/>
              </w:rPr>
            </w:pPr>
            <w:r>
              <w:rPr>
                <w:rFonts w:hint="eastAsia"/>
                <w:highlight w:val="none"/>
                <w:lang w:val="en-US" w:eastAsia="zh-CN"/>
              </w:rPr>
              <w:t>搁腿耐久性</w:t>
            </w:r>
          </w:p>
          <w:p w14:paraId="641137AB">
            <w:pPr>
              <w:pStyle w:val="10"/>
              <w:widowControl w:val="0"/>
              <w:ind w:firstLine="0" w:firstLineChars="0"/>
              <w:rPr>
                <w:kern w:val="2"/>
                <w:szCs w:val="22"/>
              </w:rPr>
            </w:pPr>
            <w:r>
              <w:t>/</w:t>
            </w:r>
            <w:r>
              <w:rPr>
                <w:rFonts w:hint="eastAsia"/>
                <w:highlight w:val="none"/>
                <w:lang w:val="en-US" w:eastAsia="zh-CN"/>
              </w:rPr>
              <w:t>角度调节机构耐久性</w:t>
            </w:r>
          </w:p>
        </w:tc>
        <w:tc>
          <w:tcPr>
            <w:tcW w:w="841" w:type="pct"/>
            <w:shd w:val="clear" w:color="auto" w:fill="auto"/>
            <w:vAlign w:val="center"/>
          </w:tcPr>
          <w:p w14:paraId="6125DBC5">
            <w:pPr>
              <w:pStyle w:val="10"/>
              <w:widowControl w:val="0"/>
              <w:ind w:firstLine="0" w:firstLineChars="0"/>
              <w:rPr>
                <w:rFonts w:hint="default"/>
                <w:kern w:val="2"/>
                <w:szCs w:val="22"/>
                <w:lang w:val="en-US"/>
              </w:rPr>
            </w:pPr>
            <w:r>
              <w:t>≥</w:t>
            </w:r>
            <w:r>
              <w:rPr>
                <w:rFonts w:hint="eastAsia"/>
                <w:lang w:val="en-US" w:eastAsia="zh-CN"/>
              </w:rPr>
              <w:t>2</w:t>
            </w:r>
            <w:r>
              <w:t>/</w:t>
            </w:r>
            <w:r>
              <w:rPr>
                <w:rFonts w:hint="eastAsia"/>
                <w:lang w:val="en-US" w:eastAsia="zh-CN"/>
              </w:rPr>
              <w:t>0.5</w:t>
            </w:r>
          </w:p>
        </w:tc>
        <w:tc>
          <w:tcPr>
            <w:tcW w:w="803" w:type="pct"/>
            <w:shd w:val="clear" w:color="auto" w:fill="auto"/>
            <w:vAlign w:val="center"/>
          </w:tcPr>
          <w:p w14:paraId="320D30B3">
            <w:pPr>
              <w:pStyle w:val="10"/>
              <w:widowControl w:val="0"/>
              <w:ind w:firstLine="0" w:firstLineChars="0"/>
              <w:rPr>
                <w:rFonts w:hint="default" w:ascii="宋体" w:hAnsi="Times New Roman" w:eastAsia="宋体" w:cs="宋体"/>
                <w:kern w:val="2"/>
                <w:sz w:val="18"/>
                <w:szCs w:val="22"/>
                <w:lang w:val="en-US" w:eastAsia="zh-CN" w:bidi="ar-SA"/>
              </w:rPr>
            </w:pPr>
          </w:p>
        </w:tc>
        <w:tc>
          <w:tcPr>
            <w:tcW w:w="875" w:type="pct"/>
            <w:shd w:val="clear" w:color="auto" w:fill="auto"/>
            <w:vAlign w:val="center"/>
          </w:tcPr>
          <w:p w14:paraId="23B97B72">
            <w:pPr>
              <w:pStyle w:val="10"/>
              <w:widowControl w:val="0"/>
              <w:ind w:firstLine="0" w:firstLineChars="0"/>
              <w:rPr>
                <w:rFonts w:hint="default" w:ascii="宋体" w:hAnsi="Times New Roman" w:eastAsia="宋体" w:cs="宋体"/>
                <w:kern w:val="2"/>
                <w:sz w:val="18"/>
                <w:szCs w:val="22"/>
                <w:lang w:val="en-US" w:eastAsia="zh-CN" w:bidi="ar-SA"/>
              </w:rPr>
            </w:pPr>
            <w:r>
              <w:t>≥</w:t>
            </w:r>
            <w:r>
              <w:rPr>
                <w:rFonts w:hint="eastAsia"/>
                <w:lang w:val="en-US" w:eastAsia="zh-CN"/>
              </w:rPr>
              <w:t>2</w:t>
            </w:r>
            <w:r>
              <w:t>/</w:t>
            </w:r>
            <w:r>
              <w:rPr>
                <w:rFonts w:hint="eastAsia"/>
                <w:lang w:val="en-US" w:eastAsia="zh-CN"/>
              </w:rPr>
              <w:t>1</w:t>
            </w:r>
          </w:p>
        </w:tc>
        <w:tc>
          <w:tcPr>
            <w:tcW w:w="618" w:type="pct"/>
            <w:shd w:val="clear" w:color="auto" w:fill="auto"/>
            <w:vAlign w:val="center"/>
          </w:tcPr>
          <w:p w14:paraId="66C21244">
            <w:pPr>
              <w:pStyle w:val="10"/>
              <w:widowControl w:val="0"/>
              <w:rPr>
                <w:rFonts w:hint="default"/>
                <w:kern w:val="2"/>
                <w:szCs w:val="22"/>
              </w:rPr>
            </w:pPr>
            <w:r>
              <w:rPr>
                <w:rFonts w:hint="eastAsia" w:hAnsi="宋体"/>
                <w:lang w:val="en-US" w:eastAsia="zh-CN"/>
              </w:rPr>
              <w:t>T/JYBZ 031-2024《中小学生午休课椅》</w:t>
            </w:r>
          </w:p>
        </w:tc>
      </w:tr>
      <w:tr w14:paraId="5B6EE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1" w:hRule="atLeast"/>
          <w:jc w:val="center"/>
        </w:trPr>
        <w:tc>
          <w:tcPr>
            <w:tcW w:w="417" w:type="pct"/>
            <w:vMerge w:val="restart"/>
            <w:shd w:val="clear" w:color="auto" w:fill="auto"/>
            <w:vAlign w:val="center"/>
          </w:tcPr>
          <w:p w14:paraId="170D27DB">
            <w:pPr>
              <w:pStyle w:val="10"/>
              <w:widowControl w:val="0"/>
              <w:rPr>
                <w:rFonts w:hint="default"/>
                <w:kern w:val="2"/>
                <w:szCs w:val="22"/>
              </w:rPr>
            </w:pPr>
            <w:r>
              <w:rPr>
                <w:kern w:val="2"/>
                <w:szCs w:val="22"/>
              </w:rPr>
              <w:t>形状和位置公差</w:t>
            </w:r>
          </w:p>
        </w:tc>
        <w:tc>
          <w:tcPr>
            <w:tcW w:w="743" w:type="pct"/>
            <w:vMerge w:val="restart"/>
            <w:shd w:val="clear" w:color="auto" w:fill="auto"/>
            <w:vAlign w:val="center"/>
          </w:tcPr>
          <w:p w14:paraId="13AD305C">
            <w:pPr>
              <w:pStyle w:val="10"/>
              <w:widowControl w:val="0"/>
              <w:rPr>
                <w:rFonts w:hint="default"/>
                <w:kern w:val="2"/>
                <w:szCs w:val="22"/>
              </w:rPr>
            </w:pPr>
            <w:r>
              <w:rPr>
                <w:kern w:val="2"/>
                <w:szCs w:val="22"/>
              </w:rPr>
              <w:t>面板、正视面板件</w:t>
            </w:r>
          </w:p>
        </w:tc>
        <w:tc>
          <w:tcPr>
            <w:tcW w:w="699" w:type="pct"/>
            <w:vMerge w:val="restart"/>
            <w:shd w:val="clear" w:color="auto" w:fill="auto"/>
            <w:vAlign w:val="center"/>
          </w:tcPr>
          <w:p w14:paraId="080AF78F">
            <w:pPr>
              <w:pStyle w:val="10"/>
              <w:widowControl w:val="0"/>
              <w:rPr>
                <w:rFonts w:hint="default"/>
                <w:kern w:val="2"/>
                <w:szCs w:val="22"/>
              </w:rPr>
            </w:pPr>
            <w:r>
              <w:rPr>
                <w:kern w:val="2"/>
                <w:szCs w:val="22"/>
              </w:rPr>
              <w:t>翘曲度</w:t>
            </w:r>
          </w:p>
        </w:tc>
        <w:tc>
          <w:tcPr>
            <w:tcW w:w="841" w:type="pct"/>
            <w:shd w:val="clear" w:color="auto" w:fill="auto"/>
            <w:vAlign w:val="center"/>
          </w:tcPr>
          <w:p w14:paraId="2235A39C">
            <w:pPr>
              <w:pStyle w:val="10"/>
              <w:widowControl w:val="0"/>
              <w:rPr>
                <w:rFonts w:hint="default"/>
                <w:kern w:val="2"/>
                <w:szCs w:val="22"/>
              </w:rPr>
            </w:pPr>
            <w:r>
              <w:rPr>
                <w:kern w:val="2"/>
                <w:szCs w:val="22"/>
              </w:rPr>
              <w:t>700mm＜面板、正视面板件对角线长度＜1400mm，≤2.0mm</w:t>
            </w:r>
          </w:p>
        </w:tc>
        <w:tc>
          <w:tcPr>
            <w:tcW w:w="803" w:type="pct"/>
            <w:shd w:val="clear" w:color="auto" w:fill="auto"/>
            <w:vAlign w:val="center"/>
          </w:tcPr>
          <w:p w14:paraId="246F3661">
            <w:pPr>
              <w:pStyle w:val="10"/>
              <w:widowControl w:val="0"/>
              <w:rPr>
                <w:rFonts w:hint="default"/>
                <w:kern w:val="2"/>
                <w:szCs w:val="22"/>
              </w:rPr>
            </w:pPr>
          </w:p>
        </w:tc>
        <w:tc>
          <w:tcPr>
            <w:tcW w:w="875" w:type="pct"/>
            <w:shd w:val="clear" w:color="auto" w:fill="auto"/>
            <w:vAlign w:val="center"/>
          </w:tcPr>
          <w:p w14:paraId="35D199A0">
            <w:pPr>
              <w:pStyle w:val="10"/>
              <w:widowControl w:val="0"/>
              <w:rPr>
                <w:rFonts w:hint="default"/>
                <w:color w:val="FF0000"/>
                <w:kern w:val="2"/>
                <w:szCs w:val="22"/>
              </w:rPr>
            </w:pPr>
          </w:p>
        </w:tc>
        <w:tc>
          <w:tcPr>
            <w:tcW w:w="618" w:type="pct"/>
            <w:vMerge w:val="restart"/>
            <w:shd w:val="clear" w:color="auto" w:fill="auto"/>
            <w:vAlign w:val="center"/>
          </w:tcPr>
          <w:p w14:paraId="775CBAE9">
            <w:pPr>
              <w:pStyle w:val="10"/>
              <w:widowControl w:val="0"/>
              <w:rPr>
                <w:rFonts w:hint="default"/>
                <w:kern w:val="2"/>
                <w:szCs w:val="22"/>
              </w:rPr>
            </w:pPr>
            <w:r>
              <w:rPr>
                <w:kern w:val="2"/>
                <w:szCs w:val="22"/>
              </w:rPr>
              <w:t>GB/T 3324《木家具通用技术条件》</w:t>
            </w:r>
          </w:p>
        </w:tc>
      </w:tr>
      <w:tr w14:paraId="7EF29B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18AFC3ED">
            <w:pPr>
              <w:pStyle w:val="10"/>
              <w:widowControl w:val="0"/>
              <w:rPr>
                <w:rFonts w:hint="default"/>
                <w:kern w:val="2"/>
                <w:szCs w:val="22"/>
              </w:rPr>
            </w:pPr>
          </w:p>
        </w:tc>
        <w:tc>
          <w:tcPr>
            <w:tcW w:w="743" w:type="pct"/>
            <w:vMerge w:val="continue"/>
            <w:shd w:val="clear" w:color="auto" w:fill="auto"/>
            <w:vAlign w:val="center"/>
          </w:tcPr>
          <w:p w14:paraId="369C86E1">
            <w:pPr>
              <w:pStyle w:val="10"/>
              <w:widowControl w:val="0"/>
              <w:rPr>
                <w:rFonts w:hint="default"/>
                <w:kern w:val="2"/>
                <w:szCs w:val="22"/>
              </w:rPr>
            </w:pPr>
          </w:p>
        </w:tc>
        <w:tc>
          <w:tcPr>
            <w:tcW w:w="699" w:type="pct"/>
            <w:vMerge w:val="continue"/>
            <w:shd w:val="clear" w:color="auto" w:fill="auto"/>
            <w:vAlign w:val="center"/>
          </w:tcPr>
          <w:p w14:paraId="097941D2">
            <w:pPr>
              <w:pStyle w:val="10"/>
              <w:widowControl w:val="0"/>
              <w:rPr>
                <w:rFonts w:hint="default"/>
                <w:kern w:val="2"/>
                <w:szCs w:val="22"/>
              </w:rPr>
            </w:pPr>
          </w:p>
        </w:tc>
        <w:tc>
          <w:tcPr>
            <w:tcW w:w="841" w:type="pct"/>
            <w:shd w:val="clear" w:color="auto" w:fill="auto"/>
            <w:vAlign w:val="center"/>
          </w:tcPr>
          <w:p w14:paraId="4C8E6626">
            <w:pPr>
              <w:pStyle w:val="10"/>
              <w:widowControl w:val="0"/>
              <w:rPr>
                <w:rFonts w:hint="default"/>
                <w:kern w:val="2"/>
                <w:szCs w:val="22"/>
              </w:rPr>
            </w:pPr>
            <w:r>
              <w:rPr>
                <w:kern w:val="2"/>
                <w:szCs w:val="22"/>
              </w:rPr>
              <w:t>面板、正视面板件对角线≤700mm，≤1.0mm</w:t>
            </w:r>
          </w:p>
        </w:tc>
        <w:tc>
          <w:tcPr>
            <w:tcW w:w="803" w:type="pct"/>
            <w:shd w:val="clear" w:color="auto" w:fill="auto"/>
            <w:vAlign w:val="center"/>
          </w:tcPr>
          <w:p w14:paraId="5164C022">
            <w:pPr>
              <w:pStyle w:val="10"/>
              <w:widowControl w:val="0"/>
              <w:rPr>
                <w:rFonts w:hint="default"/>
                <w:kern w:val="2"/>
                <w:szCs w:val="22"/>
              </w:rPr>
            </w:pPr>
          </w:p>
        </w:tc>
        <w:tc>
          <w:tcPr>
            <w:tcW w:w="875" w:type="pct"/>
            <w:shd w:val="clear" w:color="auto" w:fill="auto"/>
            <w:vAlign w:val="center"/>
          </w:tcPr>
          <w:p w14:paraId="3F39E0B7">
            <w:pPr>
              <w:pStyle w:val="10"/>
              <w:widowControl w:val="0"/>
              <w:rPr>
                <w:rFonts w:hint="default"/>
                <w:kern w:val="2"/>
                <w:szCs w:val="22"/>
              </w:rPr>
            </w:pPr>
          </w:p>
        </w:tc>
        <w:tc>
          <w:tcPr>
            <w:tcW w:w="618" w:type="pct"/>
            <w:vMerge w:val="continue"/>
            <w:shd w:val="clear" w:color="auto" w:fill="auto"/>
            <w:vAlign w:val="center"/>
          </w:tcPr>
          <w:p w14:paraId="0C17FFA1">
            <w:pPr>
              <w:pStyle w:val="10"/>
              <w:widowControl w:val="0"/>
              <w:rPr>
                <w:rFonts w:hint="default"/>
                <w:kern w:val="2"/>
                <w:szCs w:val="22"/>
              </w:rPr>
            </w:pPr>
          </w:p>
        </w:tc>
      </w:tr>
      <w:tr w14:paraId="485BA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354513B0">
            <w:pPr>
              <w:pStyle w:val="10"/>
              <w:widowControl w:val="0"/>
              <w:rPr>
                <w:rFonts w:hint="default"/>
                <w:kern w:val="2"/>
                <w:szCs w:val="22"/>
              </w:rPr>
            </w:pPr>
          </w:p>
        </w:tc>
        <w:tc>
          <w:tcPr>
            <w:tcW w:w="743" w:type="pct"/>
            <w:vMerge w:val="continue"/>
            <w:shd w:val="clear" w:color="auto" w:fill="auto"/>
            <w:vAlign w:val="center"/>
          </w:tcPr>
          <w:p w14:paraId="46CFC085">
            <w:pPr>
              <w:pStyle w:val="10"/>
              <w:widowControl w:val="0"/>
              <w:rPr>
                <w:rFonts w:hint="default"/>
                <w:kern w:val="2"/>
                <w:szCs w:val="22"/>
              </w:rPr>
            </w:pPr>
          </w:p>
        </w:tc>
        <w:tc>
          <w:tcPr>
            <w:tcW w:w="699" w:type="pct"/>
            <w:shd w:val="clear" w:color="auto" w:fill="auto"/>
            <w:vAlign w:val="center"/>
          </w:tcPr>
          <w:p w14:paraId="7E03A9D3">
            <w:pPr>
              <w:pStyle w:val="10"/>
              <w:widowControl w:val="0"/>
              <w:rPr>
                <w:rFonts w:hint="default"/>
                <w:kern w:val="2"/>
                <w:szCs w:val="22"/>
              </w:rPr>
            </w:pPr>
            <w:r>
              <w:rPr>
                <w:kern w:val="2"/>
                <w:szCs w:val="22"/>
              </w:rPr>
              <w:t>平整度</w:t>
            </w:r>
          </w:p>
        </w:tc>
        <w:tc>
          <w:tcPr>
            <w:tcW w:w="841" w:type="pct"/>
            <w:shd w:val="clear" w:color="auto" w:fill="auto"/>
            <w:vAlign w:val="center"/>
          </w:tcPr>
          <w:p w14:paraId="2CCD800A">
            <w:pPr>
              <w:pStyle w:val="10"/>
              <w:widowControl w:val="0"/>
              <w:rPr>
                <w:rFonts w:hint="default"/>
                <w:kern w:val="2"/>
                <w:szCs w:val="22"/>
              </w:rPr>
            </w:pPr>
            <w:r>
              <w:rPr>
                <w:kern w:val="2"/>
                <w:szCs w:val="22"/>
              </w:rPr>
              <w:t>≤0.2mm</w:t>
            </w:r>
          </w:p>
        </w:tc>
        <w:tc>
          <w:tcPr>
            <w:tcW w:w="803" w:type="pct"/>
            <w:shd w:val="clear" w:color="auto" w:fill="auto"/>
            <w:vAlign w:val="center"/>
          </w:tcPr>
          <w:p w14:paraId="7D12772B">
            <w:pPr>
              <w:pStyle w:val="10"/>
              <w:widowControl w:val="0"/>
              <w:rPr>
                <w:rFonts w:hint="default"/>
                <w:kern w:val="2"/>
                <w:szCs w:val="22"/>
              </w:rPr>
            </w:pPr>
          </w:p>
        </w:tc>
        <w:tc>
          <w:tcPr>
            <w:tcW w:w="875" w:type="pct"/>
            <w:shd w:val="clear" w:color="auto" w:fill="auto"/>
            <w:vAlign w:val="center"/>
          </w:tcPr>
          <w:p w14:paraId="40593AB9">
            <w:pPr>
              <w:pStyle w:val="10"/>
              <w:widowControl w:val="0"/>
              <w:rPr>
                <w:rFonts w:hint="default"/>
                <w:kern w:val="2"/>
                <w:szCs w:val="22"/>
              </w:rPr>
            </w:pPr>
          </w:p>
        </w:tc>
        <w:tc>
          <w:tcPr>
            <w:tcW w:w="618" w:type="pct"/>
            <w:vMerge w:val="continue"/>
            <w:shd w:val="clear" w:color="auto" w:fill="auto"/>
            <w:vAlign w:val="center"/>
          </w:tcPr>
          <w:p w14:paraId="2E7572AC">
            <w:pPr>
              <w:pStyle w:val="10"/>
              <w:widowControl w:val="0"/>
              <w:rPr>
                <w:rFonts w:hint="default"/>
                <w:kern w:val="2"/>
                <w:szCs w:val="22"/>
              </w:rPr>
            </w:pPr>
          </w:p>
        </w:tc>
      </w:tr>
      <w:tr w14:paraId="1904E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continue"/>
            <w:shd w:val="clear" w:color="auto" w:fill="auto"/>
            <w:vAlign w:val="center"/>
          </w:tcPr>
          <w:p w14:paraId="2606BDC4">
            <w:pPr>
              <w:pStyle w:val="10"/>
              <w:widowControl w:val="0"/>
              <w:rPr>
                <w:rFonts w:hint="default"/>
                <w:kern w:val="2"/>
                <w:szCs w:val="22"/>
              </w:rPr>
            </w:pPr>
          </w:p>
        </w:tc>
        <w:tc>
          <w:tcPr>
            <w:tcW w:w="1443" w:type="pct"/>
            <w:gridSpan w:val="2"/>
            <w:shd w:val="clear" w:color="auto" w:fill="auto"/>
            <w:vAlign w:val="center"/>
          </w:tcPr>
          <w:p w14:paraId="00F1C87C">
            <w:pPr>
              <w:pStyle w:val="10"/>
              <w:widowControl w:val="0"/>
              <w:rPr>
                <w:rFonts w:hint="default"/>
                <w:kern w:val="2"/>
                <w:szCs w:val="22"/>
              </w:rPr>
            </w:pPr>
            <w:r>
              <w:rPr>
                <w:kern w:val="2"/>
                <w:szCs w:val="22"/>
              </w:rPr>
              <w:t>底角平稳性</w:t>
            </w:r>
          </w:p>
        </w:tc>
        <w:tc>
          <w:tcPr>
            <w:tcW w:w="841" w:type="pct"/>
            <w:shd w:val="clear" w:color="auto" w:fill="auto"/>
            <w:vAlign w:val="center"/>
          </w:tcPr>
          <w:p w14:paraId="4B7E00F3">
            <w:pPr>
              <w:pStyle w:val="10"/>
              <w:widowControl w:val="0"/>
              <w:rPr>
                <w:rFonts w:hint="default"/>
                <w:kern w:val="2"/>
                <w:szCs w:val="22"/>
              </w:rPr>
            </w:pPr>
            <w:r>
              <w:rPr>
                <w:kern w:val="2"/>
                <w:szCs w:val="22"/>
              </w:rPr>
              <w:t>≤2.0mm</w:t>
            </w:r>
          </w:p>
        </w:tc>
        <w:tc>
          <w:tcPr>
            <w:tcW w:w="803" w:type="pct"/>
            <w:shd w:val="clear" w:color="auto" w:fill="auto"/>
            <w:vAlign w:val="center"/>
          </w:tcPr>
          <w:p w14:paraId="04AD3022">
            <w:pPr>
              <w:pStyle w:val="10"/>
              <w:widowControl w:val="0"/>
              <w:rPr>
                <w:rFonts w:hint="default"/>
                <w:kern w:val="2"/>
                <w:szCs w:val="22"/>
              </w:rPr>
            </w:pPr>
          </w:p>
        </w:tc>
        <w:tc>
          <w:tcPr>
            <w:tcW w:w="875" w:type="pct"/>
            <w:shd w:val="clear" w:color="auto" w:fill="auto"/>
            <w:vAlign w:val="center"/>
          </w:tcPr>
          <w:p w14:paraId="469CFE29">
            <w:pPr>
              <w:pStyle w:val="10"/>
              <w:widowControl w:val="0"/>
              <w:rPr>
                <w:rFonts w:hint="default"/>
                <w:kern w:val="2"/>
                <w:szCs w:val="22"/>
              </w:rPr>
            </w:pPr>
          </w:p>
        </w:tc>
        <w:tc>
          <w:tcPr>
            <w:tcW w:w="618" w:type="pct"/>
            <w:vMerge w:val="continue"/>
            <w:shd w:val="clear" w:color="auto" w:fill="auto"/>
            <w:vAlign w:val="center"/>
          </w:tcPr>
          <w:p w14:paraId="244D545A">
            <w:pPr>
              <w:pStyle w:val="10"/>
              <w:widowControl w:val="0"/>
              <w:rPr>
                <w:rFonts w:hint="default"/>
                <w:kern w:val="2"/>
                <w:szCs w:val="22"/>
              </w:rPr>
            </w:pPr>
          </w:p>
        </w:tc>
      </w:tr>
      <w:tr w14:paraId="59282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17" w:type="pct"/>
            <w:vMerge w:val="restart"/>
            <w:shd w:val="clear" w:color="auto" w:fill="auto"/>
            <w:vAlign w:val="center"/>
          </w:tcPr>
          <w:p w14:paraId="79E3E37E">
            <w:pPr>
              <w:pStyle w:val="10"/>
              <w:widowControl w:val="0"/>
              <w:rPr>
                <w:rFonts w:hint="default"/>
                <w:kern w:val="2"/>
                <w:szCs w:val="22"/>
              </w:rPr>
            </w:pPr>
            <w:r>
              <w:rPr>
                <w:kern w:val="2"/>
                <w:szCs w:val="22"/>
              </w:rPr>
              <w:t>表面理化性能</w:t>
            </w:r>
          </w:p>
        </w:tc>
        <w:tc>
          <w:tcPr>
            <w:tcW w:w="743" w:type="pct"/>
            <w:vMerge w:val="restart"/>
            <w:shd w:val="clear" w:color="auto" w:fill="auto"/>
            <w:vAlign w:val="center"/>
          </w:tcPr>
          <w:p w14:paraId="45AA3885">
            <w:pPr>
              <w:pStyle w:val="10"/>
              <w:widowControl w:val="0"/>
              <w:rPr>
                <w:rFonts w:hint="default"/>
                <w:kern w:val="2"/>
                <w:szCs w:val="22"/>
              </w:rPr>
            </w:pPr>
            <w:r>
              <w:rPr>
                <w:rFonts w:hint="eastAsia"/>
                <w:lang w:val="en-US" w:eastAsia="zh-CN"/>
              </w:rPr>
              <w:t>塑料面</w:t>
            </w:r>
          </w:p>
        </w:tc>
        <w:tc>
          <w:tcPr>
            <w:tcW w:w="699" w:type="pct"/>
            <w:vMerge w:val="restart"/>
            <w:shd w:val="clear" w:color="auto" w:fill="auto"/>
            <w:vAlign w:val="center"/>
          </w:tcPr>
          <w:p w14:paraId="7EA08972">
            <w:pPr>
              <w:pStyle w:val="10"/>
              <w:widowControl w:val="0"/>
              <w:rPr>
                <w:rFonts w:hint="default"/>
                <w:kern w:val="2"/>
                <w:szCs w:val="22"/>
              </w:rPr>
            </w:pPr>
            <w:r>
              <w:t>耐</w:t>
            </w:r>
            <w:r>
              <w:rPr>
                <w:rFonts w:hint="eastAsia"/>
                <w:lang w:val="en-US" w:eastAsia="zh-CN"/>
              </w:rPr>
              <w:t>老化（500h）</w:t>
            </w:r>
          </w:p>
        </w:tc>
        <w:tc>
          <w:tcPr>
            <w:tcW w:w="841" w:type="pct"/>
            <w:shd w:val="clear" w:color="auto" w:fill="auto"/>
            <w:vAlign w:val="center"/>
          </w:tcPr>
          <w:p w14:paraId="291CAF82">
            <w:pPr>
              <w:pStyle w:val="10"/>
              <w:widowControl w:val="0"/>
              <w:ind w:firstLine="0" w:firstLineChars="0"/>
              <w:rPr>
                <w:rFonts w:hint="default"/>
                <w:kern w:val="2"/>
                <w:szCs w:val="22"/>
              </w:rPr>
            </w:pPr>
            <w:r>
              <w:rPr>
                <w:rFonts w:hint="eastAsia"/>
                <w:lang w:val="en-US" w:eastAsia="zh-CN"/>
              </w:rPr>
              <w:t>外观颜色变色评级≥3级</w:t>
            </w:r>
          </w:p>
        </w:tc>
        <w:tc>
          <w:tcPr>
            <w:tcW w:w="803" w:type="pct"/>
            <w:shd w:val="clear" w:color="auto" w:fill="auto"/>
            <w:vAlign w:val="center"/>
          </w:tcPr>
          <w:p w14:paraId="5F71C222">
            <w:pPr>
              <w:pStyle w:val="10"/>
              <w:widowControl w:val="0"/>
              <w:rPr>
                <w:rFonts w:hint="default"/>
                <w:kern w:val="2"/>
                <w:szCs w:val="22"/>
              </w:rPr>
            </w:pPr>
          </w:p>
        </w:tc>
        <w:tc>
          <w:tcPr>
            <w:tcW w:w="875" w:type="pct"/>
            <w:shd w:val="clear" w:color="auto" w:fill="auto"/>
            <w:vAlign w:val="center"/>
          </w:tcPr>
          <w:p w14:paraId="7F508F14">
            <w:pPr>
              <w:pStyle w:val="10"/>
              <w:widowControl w:val="0"/>
              <w:rPr>
                <w:rFonts w:hint="default"/>
                <w:kern w:val="2"/>
                <w:szCs w:val="22"/>
              </w:rPr>
            </w:pPr>
          </w:p>
        </w:tc>
        <w:tc>
          <w:tcPr>
            <w:tcW w:w="618" w:type="pct"/>
            <w:vMerge w:val="restart"/>
            <w:shd w:val="clear" w:color="auto" w:fill="auto"/>
            <w:vAlign w:val="center"/>
          </w:tcPr>
          <w:p w14:paraId="05FD87F9">
            <w:pPr>
              <w:pStyle w:val="10"/>
              <w:widowControl w:val="0"/>
              <w:rPr>
                <w:rFonts w:hint="default"/>
                <w:kern w:val="2"/>
                <w:szCs w:val="22"/>
              </w:rPr>
            </w:pPr>
            <w:r>
              <w:rPr>
                <w:kern w:val="2"/>
                <w:szCs w:val="22"/>
              </w:rPr>
              <w:t>QB/T 4071《课桌椅》</w:t>
            </w:r>
          </w:p>
        </w:tc>
      </w:tr>
      <w:tr w14:paraId="58142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1" w:hRule="atLeast"/>
          <w:jc w:val="center"/>
        </w:trPr>
        <w:tc>
          <w:tcPr>
            <w:tcW w:w="417" w:type="pct"/>
            <w:vMerge w:val="continue"/>
            <w:shd w:val="clear" w:color="auto" w:fill="auto"/>
            <w:vAlign w:val="center"/>
          </w:tcPr>
          <w:p w14:paraId="63A2B0B3">
            <w:pPr>
              <w:pStyle w:val="10"/>
              <w:widowControl w:val="0"/>
              <w:rPr>
                <w:rFonts w:hint="default"/>
                <w:kern w:val="2"/>
                <w:szCs w:val="22"/>
              </w:rPr>
            </w:pPr>
          </w:p>
        </w:tc>
        <w:tc>
          <w:tcPr>
            <w:tcW w:w="743" w:type="pct"/>
            <w:vMerge w:val="continue"/>
            <w:shd w:val="clear" w:color="auto" w:fill="auto"/>
            <w:vAlign w:val="center"/>
          </w:tcPr>
          <w:p w14:paraId="7BBA0221">
            <w:pPr>
              <w:pStyle w:val="10"/>
              <w:widowControl w:val="0"/>
              <w:rPr>
                <w:rFonts w:hint="default"/>
                <w:kern w:val="2"/>
                <w:szCs w:val="22"/>
              </w:rPr>
            </w:pPr>
          </w:p>
        </w:tc>
        <w:tc>
          <w:tcPr>
            <w:tcW w:w="699" w:type="pct"/>
            <w:vMerge w:val="continue"/>
            <w:shd w:val="clear" w:color="auto" w:fill="auto"/>
            <w:vAlign w:val="center"/>
          </w:tcPr>
          <w:p w14:paraId="083CC613">
            <w:pPr>
              <w:pStyle w:val="10"/>
              <w:widowControl w:val="0"/>
              <w:rPr>
                <w:rFonts w:hint="default"/>
                <w:kern w:val="2"/>
                <w:szCs w:val="22"/>
              </w:rPr>
            </w:pPr>
          </w:p>
        </w:tc>
        <w:tc>
          <w:tcPr>
            <w:tcW w:w="841" w:type="pct"/>
            <w:shd w:val="clear" w:color="auto" w:fill="auto"/>
            <w:vAlign w:val="center"/>
          </w:tcPr>
          <w:p w14:paraId="5230A9BD">
            <w:pPr>
              <w:pStyle w:val="10"/>
              <w:widowControl w:val="0"/>
              <w:ind w:firstLine="0" w:firstLineChars="0"/>
              <w:rPr>
                <w:rFonts w:hint="default"/>
                <w:kern w:val="2"/>
                <w:szCs w:val="22"/>
              </w:rPr>
            </w:pPr>
            <w:r>
              <w:rPr>
                <w:rFonts w:hint="eastAsia"/>
                <w:lang w:val="en-US" w:eastAsia="zh-CN"/>
              </w:rPr>
              <w:t>拉伸强度、断裂伸长率保持率≥60%</w:t>
            </w:r>
          </w:p>
        </w:tc>
        <w:tc>
          <w:tcPr>
            <w:tcW w:w="803" w:type="pct"/>
            <w:shd w:val="clear" w:color="auto" w:fill="auto"/>
            <w:vAlign w:val="center"/>
          </w:tcPr>
          <w:p w14:paraId="40E5209B">
            <w:pPr>
              <w:pStyle w:val="10"/>
              <w:widowControl w:val="0"/>
              <w:rPr>
                <w:rFonts w:hint="default"/>
                <w:kern w:val="2"/>
                <w:szCs w:val="22"/>
              </w:rPr>
            </w:pPr>
          </w:p>
        </w:tc>
        <w:tc>
          <w:tcPr>
            <w:tcW w:w="875" w:type="pct"/>
            <w:shd w:val="clear" w:color="auto" w:fill="auto"/>
            <w:vAlign w:val="center"/>
          </w:tcPr>
          <w:p w14:paraId="3AA898C2">
            <w:pPr>
              <w:pStyle w:val="10"/>
              <w:widowControl w:val="0"/>
              <w:rPr>
                <w:rFonts w:hint="default"/>
                <w:kern w:val="2"/>
                <w:szCs w:val="22"/>
              </w:rPr>
            </w:pPr>
          </w:p>
        </w:tc>
        <w:tc>
          <w:tcPr>
            <w:tcW w:w="618" w:type="pct"/>
            <w:vMerge w:val="continue"/>
            <w:shd w:val="clear" w:color="auto" w:fill="auto"/>
            <w:vAlign w:val="center"/>
          </w:tcPr>
          <w:p w14:paraId="21052523">
            <w:pPr>
              <w:pStyle w:val="10"/>
              <w:widowControl w:val="0"/>
              <w:rPr>
                <w:rFonts w:hint="default"/>
                <w:kern w:val="2"/>
                <w:szCs w:val="22"/>
              </w:rPr>
            </w:pPr>
          </w:p>
        </w:tc>
      </w:tr>
      <w:tr w14:paraId="236E0A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417" w:type="pct"/>
            <w:vMerge w:val="continue"/>
            <w:shd w:val="clear" w:color="auto" w:fill="auto"/>
            <w:vAlign w:val="center"/>
          </w:tcPr>
          <w:p w14:paraId="31F6909E">
            <w:pPr>
              <w:pStyle w:val="10"/>
              <w:widowControl w:val="0"/>
              <w:rPr>
                <w:rFonts w:hint="default"/>
                <w:kern w:val="2"/>
                <w:szCs w:val="22"/>
              </w:rPr>
            </w:pPr>
          </w:p>
        </w:tc>
        <w:tc>
          <w:tcPr>
            <w:tcW w:w="743" w:type="pct"/>
            <w:vMerge w:val="continue"/>
            <w:shd w:val="clear" w:color="auto" w:fill="auto"/>
            <w:vAlign w:val="center"/>
          </w:tcPr>
          <w:p w14:paraId="1AED277A">
            <w:pPr>
              <w:pStyle w:val="10"/>
              <w:widowControl w:val="0"/>
              <w:rPr>
                <w:rFonts w:hint="default"/>
                <w:kern w:val="2"/>
                <w:szCs w:val="22"/>
              </w:rPr>
            </w:pPr>
          </w:p>
        </w:tc>
        <w:tc>
          <w:tcPr>
            <w:tcW w:w="699" w:type="pct"/>
            <w:shd w:val="clear" w:color="auto" w:fill="auto"/>
            <w:vAlign w:val="center"/>
          </w:tcPr>
          <w:p w14:paraId="6F2F3612">
            <w:pPr>
              <w:pStyle w:val="10"/>
              <w:widowControl w:val="0"/>
              <w:ind w:firstLine="0" w:firstLineChars="0"/>
              <w:rPr>
                <w:rFonts w:hint="default"/>
                <w:kern w:val="2"/>
                <w:szCs w:val="22"/>
              </w:rPr>
            </w:pPr>
            <w:r>
              <w:t>耐污染</w:t>
            </w:r>
          </w:p>
        </w:tc>
        <w:tc>
          <w:tcPr>
            <w:tcW w:w="841" w:type="pct"/>
            <w:shd w:val="clear" w:color="auto" w:fill="auto"/>
            <w:vAlign w:val="center"/>
          </w:tcPr>
          <w:p w14:paraId="27D44CDE">
            <w:pPr>
              <w:pStyle w:val="10"/>
              <w:widowControl w:val="0"/>
              <w:ind w:firstLine="0" w:firstLineChars="0"/>
              <w:rPr>
                <w:rFonts w:hint="default"/>
                <w:kern w:val="2"/>
                <w:szCs w:val="22"/>
              </w:rPr>
            </w:pPr>
            <w:r>
              <w:t>[墨水（蓝色和红色）、印泥、水笔、圆珠笔、涂改液，24h]，无明显痕迹</w:t>
            </w:r>
          </w:p>
        </w:tc>
        <w:tc>
          <w:tcPr>
            <w:tcW w:w="803" w:type="pct"/>
            <w:shd w:val="clear" w:color="auto" w:fill="auto"/>
            <w:vAlign w:val="center"/>
          </w:tcPr>
          <w:p w14:paraId="291A02A0">
            <w:pPr>
              <w:pStyle w:val="10"/>
              <w:widowControl w:val="0"/>
              <w:rPr>
                <w:rFonts w:hint="default"/>
                <w:kern w:val="2"/>
                <w:szCs w:val="22"/>
              </w:rPr>
            </w:pPr>
          </w:p>
        </w:tc>
        <w:tc>
          <w:tcPr>
            <w:tcW w:w="875" w:type="pct"/>
            <w:shd w:val="clear" w:color="auto" w:fill="auto"/>
            <w:vAlign w:val="center"/>
          </w:tcPr>
          <w:p w14:paraId="530D21A5">
            <w:pPr>
              <w:pStyle w:val="10"/>
              <w:widowControl w:val="0"/>
              <w:rPr>
                <w:rFonts w:hint="default"/>
                <w:kern w:val="2"/>
                <w:szCs w:val="22"/>
              </w:rPr>
            </w:pPr>
          </w:p>
        </w:tc>
        <w:tc>
          <w:tcPr>
            <w:tcW w:w="618" w:type="pct"/>
            <w:vMerge w:val="continue"/>
            <w:shd w:val="clear" w:color="auto" w:fill="auto"/>
            <w:vAlign w:val="center"/>
          </w:tcPr>
          <w:p w14:paraId="1D36A9E7">
            <w:pPr>
              <w:pStyle w:val="10"/>
              <w:widowControl w:val="0"/>
              <w:rPr>
                <w:rFonts w:hint="default"/>
                <w:kern w:val="2"/>
                <w:szCs w:val="22"/>
              </w:rPr>
            </w:pPr>
          </w:p>
        </w:tc>
      </w:tr>
    </w:tbl>
    <w:p w14:paraId="251432C6">
      <w:pPr>
        <w:rPr>
          <w:rFonts w:ascii="仿宋" w:hAnsi="仿宋" w:eastAsia="仿宋" w:cs="仿宋"/>
          <w:sz w:val="24"/>
        </w:rPr>
      </w:pPr>
    </w:p>
    <w:p w14:paraId="329C7910">
      <w:pPr>
        <w:ind w:firstLine="643" w:firstLineChars="200"/>
        <w:rPr>
          <w:rFonts w:ascii="黑体" w:hAnsi="黑体" w:eastAsia="黑体" w:cs="黑体"/>
          <w:b/>
          <w:bCs/>
          <w:sz w:val="32"/>
          <w:szCs w:val="40"/>
        </w:rPr>
      </w:pPr>
      <w:r>
        <w:rPr>
          <w:rFonts w:hint="eastAsia" w:ascii="黑体" w:hAnsi="黑体" w:eastAsia="黑体" w:cs="黑体"/>
          <w:b/>
          <w:bCs/>
          <w:sz w:val="32"/>
          <w:szCs w:val="40"/>
        </w:rPr>
        <w:t>3.2 资源节约属性</w:t>
      </w:r>
    </w:p>
    <w:p w14:paraId="26E4825D">
      <w:pPr>
        <w:ind w:firstLine="640" w:firstLineChars="200"/>
        <w:rPr>
          <w:rFonts w:ascii="仿宋" w:hAnsi="仿宋" w:eastAsia="仿宋" w:cs="仿宋"/>
          <w:sz w:val="32"/>
          <w:szCs w:val="40"/>
        </w:rPr>
      </w:pPr>
      <w:r>
        <w:rPr>
          <w:rFonts w:hint="eastAsia" w:ascii="仿宋" w:hAnsi="仿宋" w:eastAsia="仿宋" w:cs="仿宋"/>
          <w:sz w:val="32"/>
          <w:szCs w:val="40"/>
        </w:rPr>
        <w:t>资源节约要求企业在生产过程中做到节料、节水、节能。第一，按要求构建供应链安全管理体系，保证原材料来源的安全性，遵循技术先进、质量可靠、产品安全、经济可行的原则，制定原材料节约和废弃物循环利用的制度和方案，积极引进并采用先进的设计理念、工艺和设备提高原材料利用率；第二，企业生产制造用水符合相关地方标准要求，合理用水；第三，企业应使用清洁能源和可再生能源，建立能源管理体系，制定能源节约、余热余压循环利用的制度和措施，明确管理职责和人员。</w:t>
      </w:r>
    </w:p>
    <w:p w14:paraId="310018E9">
      <w:pPr>
        <w:ind w:firstLine="643" w:firstLineChars="200"/>
        <w:rPr>
          <w:rFonts w:ascii="黑体" w:hAnsi="黑体" w:eastAsia="黑体" w:cs="黑体"/>
          <w:b/>
          <w:bCs/>
          <w:sz w:val="32"/>
          <w:szCs w:val="40"/>
        </w:rPr>
      </w:pPr>
      <w:r>
        <w:rPr>
          <w:rFonts w:hint="eastAsia" w:ascii="黑体" w:hAnsi="黑体" w:eastAsia="黑体" w:cs="黑体"/>
          <w:b/>
          <w:bCs/>
          <w:sz w:val="32"/>
          <w:szCs w:val="40"/>
        </w:rPr>
        <w:t>3.3 环境保护属性</w:t>
      </w:r>
    </w:p>
    <w:p w14:paraId="693CC0EE">
      <w:pPr>
        <w:ind w:firstLine="640" w:firstLineChars="200"/>
        <w:rPr>
          <w:rFonts w:ascii="仿宋" w:hAnsi="仿宋" w:eastAsia="仿宋" w:cs="仿宋"/>
          <w:sz w:val="32"/>
          <w:szCs w:val="40"/>
        </w:rPr>
      </w:pPr>
      <w:r>
        <w:rPr>
          <w:rFonts w:hint="eastAsia" w:ascii="仿宋" w:hAnsi="仿宋" w:eastAsia="仿宋" w:cs="仿宋"/>
          <w:sz w:val="32"/>
          <w:szCs w:val="40"/>
        </w:rPr>
        <w:t>环境保护要求企业工作场所中的化学物质及粉尘浓度应满足相关国家标准，且企业应制定降尘、降噪、排污等环境管理制度和方案，采用相应的先进设备和技术过滤生产车间产生的有害气体和粉尘，排放的工业噪声、污染物、有害气体及固体废弃物贮存和处置场所符合相应国家标准的要求，原材料优先选择对环境污染小、可降解的原料。</w:t>
      </w:r>
    </w:p>
    <w:p w14:paraId="2819B5FD">
      <w:pPr>
        <w:ind w:firstLine="640" w:firstLineChars="200"/>
        <w:rPr>
          <w:rFonts w:ascii="黑体" w:hAnsi="黑体" w:eastAsia="黑体" w:cs="黑体"/>
          <w:sz w:val="32"/>
          <w:szCs w:val="40"/>
        </w:rPr>
      </w:pPr>
      <w:r>
        <w:rPr>
          <w:rFonts w:hint="eastAsia" w:ascii="黑体" w:hAnsi="黑体" w:eastAsia="黑体" w:cs="黑体"/>
          <w:sz w:val="32"/>
          <w:szCs w:val="40"/>
        </w:rPr>
        <w:t>3.4生态协同属性</w:t>
      </w:r>
    </w:p>
    <w:p w14:paraId="0944FED8">
      <w:pPr>
        <w:ind w:firstLine="640" w:firstLineChars="200"/>
        <w:rPr>
          <w:rFonts w:ascii="仿宋" w:hAnsi="仿宋" w:eastAsia="仿宋" w:cs="仿宋"/>
          <w:sz w:val="32"/>
          <w:szCs w:val="40"/>
        </w:rPr>
      </w:pPr>
      <w:r>
        <w:rPr>
          <w:rFonts w:hint="eastAsia" w:ascii="仿宋" w:hAnsi="仿宋" w:eastAsia="仿宋" w:cs="仿宋"/>
          <w:sz w:val="32"/>
          <w:szCs w:val="40"/>
        </w:rPr>
        <w:t>生态协同要求企业从供应链管理和产品生态设计方面着手。第一，企业应按照相关标准要求，将资源节约、环境保护、绿色可持续发展理念贯穿于产品设计、原材料采购、生产、营销、运输、回收利用等环节，构建绿色供应链管理体系；第二，为保证从产品的安全健康节能环保、可利用循环的特性，从产品生命周期和成本可行角度考虑，选择合适的原材料、能源、工艺、设备、供应商，制定产品包装、储运准则并设计相应分销体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8AEAB0"/>
    <w:multiLevelType w:val="singleLevel"/>
    <w:tmpl w:val="9E8AEAB0"/>
    <w:lvl w:ilvl="0" w:tentative="0">
      <w:start w:val="1"/>
      <w:numFmt w:val="chineseCounting"/>
      <w:suff w:val="nothing"/>
      <w:lvlText w:val="%1、"/>
      <w:lvlJc w:val="left"/>
      <w:rPr>
        <w:rFonts w:hint="eastAsia"/>
      </w:rPr>
    </w:lvl>
  </w:abstractNum>
  <w:abstractNum w:abstractNumId="1">
    <w:nsid w:val="2C5917C3"/>
    <w:multiLevelType w:val="multilevel"/>
    <w:tmpl w:val="2C5917C3"/>
    <w:lvl w:ilvl="0" w:tentative="0">
      <w:start w:val="1"/>
      <w:numFmt w:val="none"/>
      <w:pStyle w:val="9"/>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xZDg1MDk0YTAzYjg1MDQ0YjJlMGMxMGRmMmEwOTYifQ=="/>
    <w:docVar w:name="KSO_WPS_MARK_KEY" w:val="b4d0724d-3697-45fb-b801-e7e782ee6f5f"/>
  </w:docVars>
  <w:rsids>
    <w:rsidRoot w:val="51FC1B27"/>
    <w:rsid w:val="0001300A"/>
    <w:rsid w:val="000B3D38"/>
    <w:rsid w:val="001010A7"/>
    <w:rsid w:val="001234A2"/>
    <w:rsid w:val="002F78AA"/>
    <w:rsid w:val="00342BFF"/>
    <w:rsid w:val="003747C3"/>
    <w:rsid w:val="00550325"/>
    <w:rsid w:val="00633A4B"/>
    <w:rsid w:val="006572DC"/>
    <w:rsid w:val="006B2EC2"/>
    <w:rsid w:val="00820AC3"/>
    <w:rsid w:val="008B1170"/>
    <w:rsid w:val="008C1F25"/>
    <w:rsid w:val="008E3F95"/>
    <w:rsid w:val="009848EB"/>
    <w:rsid w:val="00A96ED6"/>
    <w:rsid w:val="00AC55D5"/>
    <w:rsid w:val="00B12B94"/>
    <w:rsid w:val="00B4707E"/>
    <w:rsid w:val="00B514C3"/>
    <w:rsid w:val="00DF5C32"/>
    <w:rsid w:val="00E60410"/>
    <w:rsid w:val="00E72E6F"/>
    <w:rsid w:val="00F70D9E"/>
    <w:rsid w:val="00FA4637"/>
    <w:rsid w:val="00FD2345"/>
    <w:rsid w:val="01253A9F"/>
    <w:rsid w:val="013700BE"/>
    <w:rsid w:val="014D4246"/>
    <w:rsid w:val="016C26C5"/>
    <w:rsid w:val="01E27506"/>
    <w:rsid w:val="020D51D4"/>
    <w:rsid w:val="02170F5B"/>
    <w:rsid w:val="021E5F2E"/>
    <w:rsid w:val="02497EEE"/>
    <w:rsid w:val="0268792B"/>
    <w:rsid w:val="028C12A6"/>
    <w:rsid w:val="02A51E2A"/>
    <w:rsid w:val="02C60471"/>
    <w:rsid w:val="02D13D63"/>
    <w:rsid w:val="03586A91"/>
    <w:rsid w:val="038806F6"/>
    <w:rsid w:val="03A71D39"/>
    <w:rsid w:val="03B71506"/>
    <w:rsid w:val="03CC4E55"/>
    <w:rsid w:val="03F3566F"/>
    <w:rsid w:val="04282036"/>
    <w:rsid w:val="046419F7"/>
    <w:rsid w:val="04B20DCD"/>
    <w:rsid w:val="04DD2C7E"/>
    <w:rsid w:val="05144873"/>
    <w:rsid w:val="053E3C48"/>
    <w:rsid w:val="056C0307"/>
    <w:rsid w:val="05771B1D"/>
    <w:rsid w:val="05B553E0"/>
    <w:rsid w:val="05D64533"/>
    <w:rsid w:val="06020558"/>
    <w:rsid w:val="06063F88"/>
    <w:rsid w:val="060F45F1"/>
    <w:rsid w:val="064E1D34"/>
    <w:rsid w:val="069C2A94"/>
    <w:rsid w:val="069E25D9"/>
    <w:rsid w:val="06BD3A45"/>
    <w:rsid w:val="071554CF"/>
    <w:rsid w:val="07317127"/>
    <w:rsid w:val="074B39A6"/>
    <w:rsid w:val="074C7FFA"/>
    <w:rsid w:val="075918E2"/>
    <w:rsid w:val="077F67F9"/>
    <w:rsid w:val="07846FFD"/>
    <w:rsid w:val="07A23110"/>
    <w:rsid w:val="07E56F1C"/>
    <w:rsid w:val="07EC1D78"/>
    <w:rsid w:val="07F5426C"/>
    <w:rsid w:val="08644684"/>
    <w:rsid w:val="089D06A1"/>
    <w:rsid w:val="08FB0B95"/>
    <w:rsid w:val="093F4DB0"/>
    <w:rsid w:val="0A011EF4"/>
    <w:rsid w:val="0A4B3E7B"/>
    <w:rsid w:val="0A4C218B"/>
    <w:rsid w:val="0A567EA1"/>
    <w:rsid w:val="0A7D7394"/>
    <w:rsid w:val="0AAF1EFF"/>
    <w:rsid w:val="0AC411F2"/>
    <w:rsid w:val="0B4870F1"/>
    <w:rsid w:val="0B625220"/>
    <w:rsid w:val="0B9F2732"/>
    <w:rsid w:val="0BAB779E"/>
    <w:rsid w:val="0BE03A41"/>
    <w:rsid w:val="0BF96ACA"/>
    <w:rsid w:val="0BFD71BB"/>
    <w:rsid w:val="0C0F23A9"/>
    <w:rsid w:val="0C3F09F8"/>
    <w:rsid w:val="0C9E7DAB"/>
    <w:rsid w:val="0D143662"/>
    <w:rsid w:val="0D1556E6"/>
    <w:rsid w:val="0D3F2DA8"/>
    <w:rsid w:val="0D454A36"/>
    <w:rsid w:val="0D55062B"/>
    <w:rsid w:val="0D7D56DC"/>
    <w:rsid w:val="0D7F6C05"/>
    <w:rsid w:val="0DEC2627"/>
    <w:rsid w:val="0E0F3A25"/>
    <w:rsid w:val="0E607570"/>
    <w:rsid w:val="0E8F2407"/>
    <w:rsid w:val="0ED9579C"/>
    <w:rsid w:val="0EF25DB4"/>
    <w:rsid w:val="0F7E7CAA"/>
    <w:rsid w:val="0FB554E1"/>
    <w:rsid w:val="0FB90527"/>
    <w:rsid w:val="0FE27F60"/>
    <w:rsid w:val="1044402E"/>
    <w:rsid w:val="10452E15"/>
    <w:rsid w:val="1049462C"/>
    <w:rsid w:val="10ED7785"/>
    <w:rsid w:val="11055274"/>
    <w:rsid w:val="11254CC9"/>
    <w:rsid w:val="11333889"/>
    <w:rsid w:val="116B4B33"/>
    <w:rsid w:val="11890405"/>
    <w:rsid w:val="118C21DD"/>
    <w:rsid w:val="11FC56F5"/>
    <w:rsid w:val="123A0C48"/>
    <w:rsid w:val="12934A52"/>
    <w:rsid w:val="129E4654"/>
    <w:rsid w:val="12B939A0"/>
    <w:rsid w:val="130F1A8E"/>
    <w:rsid w:val="138D19C0"/>
    <w:rsid w:val="138E1118"/>
    <w:rsid w:val="1394518C"/>
    <w:rsid w:val="13BA264C"/>
    <w:rsid w:val="13FD25BC"/>
    <w:rsid w:val="14785CC2"/>
    <w:rsid w:val="14A910E0"/>
    <w:rsid w:val="14AE5DA4"/>
    <w:rsid w:val="154C0633"/>
    <w:rsid w:val="15582E2E"/>
    <w:rsid w:val="15793EC9"/>
    <w:rsid w:val="15862948"/>
    <w:rsid w:val="15A53513"/>
    <w:rsid w:val="15B9065A"/>
    <w:rsid w:val="15C53FB9"/>
    <w:rsid w:val="15F47CC1"/>
    <w:rsid w:val="16134725"/>
    <w:rsid w:val="162571F0"/>
    <w:rsid w:val="1685735E"/>
    <w:rsid w:val="16A36DFC"/>
    <w:rsid w:val="16D070E9"/>
    <w:rsid w:val="174A26AC"/>
    <w:rsid w:val="178B02B6"/>
    <w:rsid w:val="17987142"/>
    <w:rsid w:val="17BC2B32"/>
    <w:rsid w:val="17CB4327"/>
    <w:rsid w:val="17CC7D8E"/>
    <w:rsid w:val="17F1742F"/>
    <w:rsid w:val="18F77CFC"/>
    <w:rsid w:val="19050B06"/>
    <w:rsid w:val="191F760D"/>
    <w:rsid w:val="19571AF9"/>
    <w:rsid w:val="199B1FCC"/>
    <w:rsid w:val="19A90406"/>
    <w:rsid w:val="19B72B7E"/>
    <w:rsid w:val="19B9511B"/>
    <w:rsid w:val="19C341AF"/>
    <w:rsid w:val="1A614C78"/>
    <w:rsid w:val="1A7301FF"/>
    <w:rsid w:val="1ABE0FD6"/>
    <w:rsid w:val="1ACD5A20"/>
    <w:rsid w:val="1AEC7F0C"/>
    <w:rsid w:val="1B2E00EB"/>
    <w:rsid w:val="1B410976"/>
    <w:rsid w:val="1BE95DF2"/>
    <w:rsid w:val="1C4F338C"/>
    <w:rsid w:val="1C6D7A32"/>
    <w:rsid w:val="1C964C50"/>
    <w:rsid w:val="1D1F5CEE"/>
    <w:rsid w:val="1D3675F7"/>
    <w:rsid w:val="1D4D6566"/>
    <w:rsid w:val="1D5A3F4C"/>
    <w:rsid w:val="1DB06469"/>
    <w:rsid w:val="1DE24955"/>
    <w:rsid w:val="1DFE14FA"/>
    <w:rsid w:val="1E030384"/>
    <w:rsid w:val="1E573392"/>
    <w:rsid w:val="1F6B0353"/>
    <w:rsid w:val="1FA27109"/>
    <w:rsid w:val="1FE26542"/>
    <w:rsid w:val="202F4B24"/>
    <w:rsid w:val="20497E80"/>
    <w:rsid w:val="20592C14"/>
    <w:rsid w:val="20895B88"/>
    <w:rsid w:val="20C21447"/>
    <w:rsid w:val="215869F4"/>
    <w:rsid w:val="219B0385"/>
    <w:rsid w:val="21BD6DEA"/>
    <w:rsid w:val="21D63673"/>
    <w:rsid w:val="22620CB1"/>
    <w:rsid w:val="226C3581"/>
    <w:rsid w:val="227C2F3C"/>
    <w:rsid w:val="22962E0A"/>
    <w:rsid w:val="229B750E"/>
    <w:rsid w:val="23185238"/>
    <w:rsid w:val="235231E1"/>
    <w:rsid w:val="235B182C"/>
    <w:rsid w:val="236D4FEF"/>
    <w:rsid w:val="2402310A"/>
    <w:rsid w:val="24411BB3"/>
    <w:rsid w:val="24447BC8"/>
    <w:rsid w:val="244E3F5C"/>
    <w:rsid w:val="247D1941"/>
    <w:rsid w:val="24D375CA"/>
    <w:rsid w:val="24DB3D54"/>
    <w:rsid w:val="24FF14F7"/>
    <w:rsid w:val="25217103"/>
    <w:rsid w:val="254B6225"/>
    <w:rsid w:val="25675166"/>
    <w:rsid w:val="25954260"/>
    <w:rsid w:val="25F34F3E"/>
    <w:rsid w:val="262C33F3"/>
    <w:rsid w:val="2647393B"/>
    <w:rsid w:val="26654351"/>
    <w:rsid w:val="27083C37"/>
    <w:rsid w:val="270B5E57"/>
    <w:rsid w:val="271E22DD"/>
    <w:rsid w:val="27471925"/>
    <w:rsid w:val="27566A34"/>
    <w:rsid w:val="27804EBE"/>
    <w:rsid w:val="27DB302C"/>
    <w:rsid w:val="27E93F55"/>
    <w:rsid w:val="280F1D8B"/>
    <w:rsid w:val="281A4A03"/>
    <w:rsid w:val="281A75F4"/>
    <w:rsid w:val="282A2BB6"/>
    <w:rsid w:val="28415851"/>
    <w:rsid w:val="28A42818"/>
    <w:rsid w:val="28CE0B1F"/>
    <w:rsid w:val="28E55011"/>
    <w:rsid w:val="2900686C"/>
    <w:rsid w:val="293A4A83"/>
    <w:rsid w:val="296E6A83"/>
    <w:rsid w:val="29726FB9"/>
    <w:rsid w:val="298D5F31"/>
    <w:rsid w:val="29932A96"/>
    <w:rsid w:val="29A05F88"/>
    <w:rsid w:val="29A745F1"/>
    <w:rsid w:val="29D80FE5"/>
    <w:rsid w:val="2A5B53CF"/>
    <w:rsid w:val="2AC455D8"/>
    <w:rsid w:val="2AC745A7"/>
    <w:rsid w:val="2AFC23AF"/>
    <w:rsid w:val="2B4A1FFC"/>
    <w:rsid w:val="2B6431E7"/>
    <w:rsid w:val="2B8841E1"/>
    <w:rsid w:val="2B8A0364"/>
    <w:rsid w:val="2B9415E6"/>
    <w:rsid w:val="2BB85687"/>
    <w:rsid w:val="2BF14465"/>
    <w:rsid w:val="2C2A1DF2"/>
    <w:rsid w:val="2C535BE4"/>
    <w:rsid w:val="2C622959"/>
    <w:rsid w:val="2CA31DC0"/>
    <w:rsid w:val="2CD25435"/>
    <w:rsid w:val="2CEA3A5C"/>
    <w:rsid w:val="2D3921CE"/>
    <w:rsid w:val="2D7D1F61"/>
    <w:rsid w:val="2D8D5A27"/>
    <w:rsid w:val="2D986164"/>
    <w:rsid w:val="2DFE15B5"/>
    <w:rsid w:val="2E3B6E3B"/>
    <w:rsid w:val="2E5F5A62"/>
    <w:rsid w:val="2F0B7412"/>
    <w:rsid w:val="2F3D0D5F"/>
    <w:rsid w:val="2FAD5F3B"/>
    <w:rsid w:val="2FB92613"/>
    <w:rsid w:val="2FE00DF5"/>
    <w:rsid w:val="301163DA"/>
    <w:rsid w:val="304D284C"/>
    <w:rsid w:val="307141DA"/>
    <w:rsid w:val="309F51F7"/>
    <w:rsid w:val="30B50EE6"/>
    <w:rsid w:val="311601C6"/>
    <w:rsid w:val="311B3266"/>
    <w:rsid w:val="317D4738"/>
    <w:rsid w:val="317D5085"/>
    <w:rsid w:val="31963370"/>
    <w:rsid w:val="319E7452"/>
    <w:rsid w:val="31B9579B"/>
    <w:rsid w:val="323F5F44"/>
    <w:rsid w:val="32410B73"/>
    <w:rsid w:val="325C7FE5"/>
    <w:rsid w:val="325E589C"/>
    <w:rsid w:val="327F2D02"/>
    <w:rsid w:val="32801DFE"/>
    <w:rsid w:val="32D82B46"/>
    <w:rsid w:val="32ED39BC"/>
    <w:rsid w:val="33165F62"/>
    <w:rsid w:val="33914455"/>
    <w:rsid w:val="33E551B7"/>
    <w:rsid w:val="33F53386"/>
    <w:rsid w:val="33F6517C"/>
    <w:rsid w:val="340432B2"/>
    <w:rsid w:val="340B28DE"/>
    <w:rsid w:val="340F5CCD"/>
    <w:rsid w:val="341C6BE6"/>
    <w:rsid w:val="348D6837"/>
    <w:rsid w:val="34C4349A"/>
    <w:rsid w:val="34D177CB"/>
    <w:rsid w:val="354D5A01"/>
    <w:rsid w:val="35674000"/>
    <w:rsid w:val="358F6CF5"/>
    <w:rsid w:val="35E75BBA"/>
    <w:rsid w:val="35FB5EF4"/>
    <w:rsid w:val="360C4C11"/>
    <w:rsid w:val="36554D38"/>
    <w:rsid w:val="36840F3E"/>
    <w:rsid w:val="369E3181"/>
    <w:rsid w:val="36B21A17"/>
    <w:rsid w:val="36C1550B"/>
    <w:rsid w:val="373A6514"/>
    <w:rsid w:val="37495C3F"/>
    <w:rsid w:val="37752CBE"/>
    <w:rsid w:val="37D82689"/>
    <w:rsid w:val="38431DED"/>
    <w:rsid w:val="385E3ADB"/>
    <w:rsid w:val="38B746AA"/>
    <w:rsid w:val="38F376B9"/>
    <w:rsid w:val="3A1C0B04"/>
    <w:rsid w:val="3A381D3E"/>
    <w:rsid w:val="3AAD0C8B"/>
    <w:rsid w:val="3AB17449"/>
    <w:rsid w:val="3AD8594F"/>
    <w:rsid w:val="3AE83D85"/>
    <w:rsid w:val="3AFF3874"/>
    <w:rsid w:val="3BDC164E"/>
    <w:rsid w:val="3BEE6DF5"/>
    <w:rsid w:val="3C47487B"/>
    <w:rsid w:val="3C547460"/>
    <w:rsid w:val="3C6002FE"/>
    <w:rsid w:val="3C6F6169"/>
    <w:rsid w:val="3C891EC1"/>
    <w:rsid w:val="3C8E528F"/>
    <w:rsid w:val="3CAE3C78"/>
    <w:rsid w:val="3CB0502E"/>
    <w:rsid w:val="3D252812"/>
    <w:rsid w:val="3D623C55"/>
    <w:rsid w:val="3D71617F"/>
    <w:rsid w:val="3D99702B"/>
    <w:rsid w:val="3DCD39F0"/>
    <w:rsid w:val="3DD93067"/>
    <w:rsid w:val="3DF708AD"/>
    <w:rsid w:val="3E283158"/>
    <w:rsid w:val="3E341801"/>
    <w:rsid w:val="3E47474F"/>
    <w:rsid w:val="3E482CD1"/>
    <w:rsid w:val="3EB30DE7"/>
    <w:rsid w:val="3EC00EAC"/>
    <w:rsid w:val="3EEA3117"/>
    <w:rsid w:val="3F0E5064"/>
    <w:rsid w:val="3F1000CA"/>
    <w:rsid w:val="3F241755"/>
    <w:rsid w:val="3F6451A0"/>
    <w:rsid w:val="3F9873CB"/>
    <w:rsid w:val="3FA21C56"/>
    <w:rsid w:val="3FA63075"/>
    <w:rsid w:val="3FD9009F"/>
    <w:rsid w:val="4009717C"/>
    <w:rsid w:val="40596C5B"/>
    <w:rsid w:val="40D85F08"/>
    <w:rsid w:val="4140770B"/>
    <w:rsid w:val="415438FB"/>
    <w:rsid w:val="416F5550"/>
    <w:rsid w:val="41CE6D67"/>
    <w:rsid w:val="41E274BA"/>
    <w:rsid w:val="420847C6"/>
    <w:rsid w:val="4219484D"/>
    <w:rsid w:val="42754F68"/>
    <w:rsid w:val="42882749"/>
    <w:rsid w:val="429E15F8"/>
    <w:rsid w:val="42D1686B"/>
    <w:rsid w:val="42DA1A2E"/>
    <w:rsid w:val="431B49DA"/>
    <w:rsid w:val="437304B6"/>
    <w:rsid w:val="43926EE3"/>
    <w:rsid w:val="43AD0658"/>
    <w:rsid w:val="440B5ABB"/>
    <w:rsid w:val="447C47D3"/>
    <w:rsid w:val="448E20C2"/>
    <w:rsid w:val="44BC5CA5"/>
    <w:rsid w:val="44DB5B88"/>
    <w:rsid w:val="45343151"/>
    <w:rsid w:val="4544269E"/>
    <w:rsid w:val="455E25E7"/>
    <w:rsid w:val="45B22D54"/>
    <w:rsid w:val="45B63B66"/>
    <w:rsid w:val="45C6602D"/>
    <w:rsid w:val="45CE3568"/>
    <w:rsid w:val="46386FBF"/>
    <w:rsid w:val="464A45B2"/>
    <w:rsid w:val="46E52A4C"/>
    <w:rsid w:val="470733BD"/>
    <w:rsid w:val="470A766A"/>
    <w:rsid w:val="470B25E9"/>
    <w:rsid w:val="470D3825"/>
    <w:rsid w:val="474426F5"/>
    <w:rsid w:val="47B101EF"/>
    <w:rsid w:val="48046CB7"/>
    <w:rsid w:val="488C485A"/>
    <w:rsid w:val="48F562FB"/>
    <w:rsid w:val="48F5760E"/>
    <w:rsid w:val="490F1374"/>
    <w:rsid w:val="491F6DCE"/>
    <w:rsid w:val="493D3563"/>
    <w:rsid w:val="49404658"/>
    <w:rsid w:val="497164FA"/>
    <w:rsid w:val="49970B51"/>
    <w:rsid w:val="49CB4D3F"/>
    <w:rsid w:val="49CE14DB"/>
    <w:rsid w:val="49F772A2"/>
    <w:rsid w:val="4A067C42"/>
    <w:rsid w:val="4A1549BF"/>
    <w:rsid w:val="4A4E7C99"/>
    <w:rsid w:val="4ACA0B1A"/>
    <w:rsid w:val="4B247D6F"/>
    <w:rsid w:val="4B33700C"/>
    <w:rsid w:val="4B372202"/>
    <w:rsid w:val="4B530F8E"/>
    <w:rsid w:val="4BAE7C24"/>
    <w:rsid w:val="4BC457D6"/>
    <w:rsid w:val="4BE90B99"/>
    <w:rsid w:val="4C042029"/>
    <w:rsid w:val="4C377F47"/>
    <w:rsid w:val="4C64537C"/>
    <w:rsid w:val="4C874F8A"/>
    <w:rsid w:val="4C9076FF"/>
    <w:rsid w:val="4CA03799"/>
    <w:rsid w:val="4CA81F62"/>
    <w:rsid w:val="4CB41174"/>
    <w:rsid w:val="4CCD418E"/>
    <w:rsid w:val="4CCE5721"/>
    <w:rsid w:val="4D0201D0"/>
    <w:rsid w:val="4D1C1244"/>
    <w:rsid w:val="4D4404A2"/>
    <w:rsid w:val="4D6F4507"/>
    <w:rsid w:val="4DA95CBB"/>
    <w:rsid w:val="4DCA6149"/>
    <w:rsid w:val="4DEA5286"/>
    <w:rsid w:val="4E0D5E73"/>
    <w:rsid w:val="4E4C5F28"/>
    <w:rsid w:val="4E5942C4"/>
    <w:rsid w:val="4E5A0B2C"/>
    <w:rsid w:val="4EB0181C"/>
    <w:rsid w:val="4F1207A2"/>
    <w:rsid w:val="4F1D654B"/>
    <w:rsid w:val="4F4D4375"/>
    <w:rsid w:val="4FF8739B"/>
    <w:rsid w:val="500E4CB8"/>
    <w:rsid w:val="503A4D9D"/>
    <w:rsid w:val="50717DA7"/>
    <w:rsid w:val="50A136FB"/>
    <w:rsid w:val="50BF386A"/>
    <w:rsid w:val="50DF245F"/>
    <w:rsid w:val="516567D4"/>
    <w:rsid w:val="51F13776"/>
    <w:rsid w:val="51FB6FF1"/>
    <w:rsid w:val="51FC1B27"/>
    <w:rsid w:val="520D0273"/>
    <w:rsid w:val="521E45F9"/>
    <w:rsid w:val="521F2707"/>
    <w:rsid w:val="522C44DF"/>
    <w:rsid w:val="52551305"/>
    <w:rsid w:val="529C60D6"/>
    <w:rsid w:val="52A13BC2"/>
    <w:rsid w:val="53211ACF"/>
    <w:rsid w:val="53402DC2"/>
    <w:rsid w:val="53775BC8"/>
    <w:rsid w:val="53A90B6E"/>
    <w:rsid w:val="53D371C5"/>
    <w:rsid w:val="544D34D8"/>
    <w:rsid w:val="54AA76FC"/>
    <w:rsid w:val="54B2227A"/>
    <w:rsid w:val="54B603FD"/>
    <w:rsid w:val="550C1402"/>
    <w:rsid w:val="551116C0"/>
    <w:rsid w:val="552973D5"/>
    <w:rsid w:val="55460C39"/>
    <w:rsid w:val="55534EDE"/>
    <w:rsid w:val="556926A7"/>
    <w:rsid w:val="55A2338A"/>
    <w:rsid w:val="55EE4A98"/>
    <w:rsid w:val="56136A31"/>
    <w:rsid w:val="563550D7"/>
    <w:rsid w:val="56442F17"/>
    <w:rsid w:val="564C125A"/>
    <w:rsid w:val="566D6F12"/>
    <w:rsid w:val="56770BE2"/>
    <w:rsid w:val="56AA713A"/>
    <w:rsid w:val="56BD1DFA"/>
    <w:rsid w:val="573961A0"/>
    <w:rsid w:val="573F1855"/>
    <w:rsid w:val="5761557B"/>
    <w:rsid w:val="5769764D"/>
    <w:rsid w:val="57DC320E"/>
    <w:rsid w:val="580546CA"/>
    <w:rsid w:val="581C6D73"/>
    <w:rsid w:val="583A700B"/>
    <w:rsid w:val="589C7791"/>
    <w:rsid w:val="59293C05"/>
    <w:rsid w:val="59562F14"/>
    <w:rsid w:val="595C251F"/>
    <w:rsid w:val="59BD3C65"/>
    <w:rsid w:val="59C66C29"/>
    <w:rsid w:val="59F06C93"/>
    <w:rsid w:val="5A4E5DD1"/>
    <w:rsid w:val="5A77608B"/>
    <w:rsid w:val="5A935A33"/>
    <w:rsid w:val="5AE429CA"/>
    <w:rsid w:val="5B4A26A7"/>
    <w:rsid w:val="5B644ACE"/>
    <w:rsid w:val="5B7E62F3"/>
    <w:rsid w:val="5BC72A00"/>
    <w:rsid w:val="5BCE0454"/>
    <w:rsid w:val="5C1E28CA"/>
    <w:rsid w:val="5C765809"/>
    <w:rsid w:val="5C8D2797"/>
    <w:rsid w:val="5CB75A34"/>
    <w:rsid w:val="5D106EF8"/>
    <w:rsid w:val="5D350C9E"/>
    <w:rsid w:val="5D7923F2"/>
    <w:rsid w:val="5D7F54B7"/>
    <w:rsid w:val="5D844DD6"/>
    <w:rsid w:val="5DAF116F"/>
    <w:rsid w:val="5DEB21C2"/>
    <w:rsid w:val="5DEE4995"/>
    <w:rsid w:val="5EE1753A"/>
    <w:rsid w:val="5EE44D17"/>
    <w:rsid w:val="5F101F0C"/>
    <w:rsid w:val="5F2C22D4"/>
    <w:rsid w:val="5F7F3866"/>
    <w:rsid w:val="5FB30ED6"/>
    <w:rsid w:val="5FB47604"/>
    <w:rsid w:val="5FB709F3"/>
    <w:rsid w:val="5FF24A5B"/>
    <w:rsid w:val="5FF44F2C"/>
    <w:rsid w:val="600B192C"/>
    <w:rsid w:val="602457F4"/>
    <w:rsid w:val="603B4F3C"/>
    <w:rsid w:val="604D6834"/>
    <w:rsid w:val="60F3167A"/>
    <w:rsid w:val="61177D67"/>
    <w:rsid w:val="61462F54"/>
    <w:rsid w:val="6153787F"/>
    <w:rsid w:val="616F24D5"/>
    <w:rsid w:val="61780C57"/>
    <w:rsid w:val="618401B1"/>
    <w:rsid w:val="61AB3C64"/>
    <w:rsid w:val="61B80A69"/>
    <w:rsid w:val="61D8482B"/>
    <w:rsid w:val="623E69CE"/>
    <w:rsid w:val="62F23070"/>
    <w:rsid w:val="632D4463"/>
    <w:rsid w:val="633A0552"/>
    <w:rsid w:val="635C6D42"/>
    <w:rsid w:val="63786FD7"/>
    <w:rsid w:val="63A7498A"/>
    <w:rsid w:val="63AF0594"/>
    <w:rsid w:val="642C10C6"/>
    <w:rsid w:val="645A4838"/>
    <w:rsid w:val="64647CE4"/>
    <w:rsid w:val="649D60DF"/>
    <w:rsid w:val="649F4DF8"/>
    <w:rsid w:val="64DE2E29"/>
    <w:rsid w:val="651A4B81"/>
    <w:rsid w:val="653C3084"/>
    <w:rsid w:val="6543195F"/>
    <w:rsid w:val="65520AFD"/>
    <w:rsid w:val="65711CEE"/>
    <w:rsid w:val="658E3257"/>
    <w:rsid w:val="65E41973"/>
    <w:rsid w:val="661E366F"/>
    <w:rsid w:val="661F52D0"/>
    <w:rsid w:val="663B1C25"/>
    <w:rsid w:val="664B3DE3"/>
    <w:rsid w:val="66BD6A6C"/>
    <w:rsid w:val="66DE40B0"/>
    <w:rsid w:val="66F54B32"/>
    <w:rsid w:val="674C6C0B"/>
    <w:rsid w:val="67620D72"/>
    <w:rsid w:val="677D28F8"/>
    <w:rsid w:val="67877947"/>
    <w:rsid w:val="67B95635"/>
    <w:rsid w:val="67BC03A5"/>
    <w:rsid w:val="67E62644"/>
    <w:rsid w:val="687F0BB6"/>
    <w:rsid w:val="69460DFC"/>
    <w:rsid w:val="69E36BDC"/>
    <w:rsid w:val="6A7807F0"/>
    <w:rsid w:val="6A8E443D"/>
    <w:rsid w:val="6A963D50"/>
    <w:rsid w:val="6AA4051C"/>
    <w:rsid w:val="6ACD5847"/>
    <w:rsid w:val="6AEA58F8"/>
    <w:rsid w:val="6AEE3FBD"/>
    <w:rsid w:val="6AFF7B04"/>
    <w:rsid w:val="6B151EC9"/>
    <w:rsid w:val="6B2B1F2B"/>
    <w:rsid w:val="6B762EC5"/>
    <w:rsid w:val="6C324700"/>
    <w:rsid w:val="6C764548"/>
    <w:rsid w:val="6C897464"/>
    <w:rsid w:val="6CAD2067"/>
    <w:rsid w:val="6CB2295D"/>
    <w:rsid w:val="6CC44DEF"/>
    <w:rsid w:val="6D8B5109"/>
    <w:rsid w:val="6D9739CD"/>
    <w:rsid w:val="6DA3655D"/>
    <w:rsid w:val="6DB513BC"/>
    <w:rsid w:val="6DC6232D"/>
    <w:rsid w:val="6DFD02A8"/>
    <w:rsid w:val="6E1321C8"/>
    <w:rsid w:val="6E3B3D55"/>
    <w:rsid w:val="6E4149B7"/>
    <w:rsid w:val="6E5F051A"/>
    <w:rsid w:val="6E66782F"/>
    <w:rsid w:val="6E824981"/>
    <w:rsid w:val="6EAF042D"/>
    <w:rsid w:val="6ECE341F"/>
    <w:rsid w:val="6ED73DDA"/>
    <w:rsid w:val="6EED2C4D"/>
    <w:rsid w:val="6EF814AD"/>
    <w:rsid w:val="6F0B3590"/>
    <w:rsid w:val="6F7608D3"/>
    <w:rsid w:val="6F762338"/>
    <w:rsid w:val="6F850EEE"/>
    <w:rsid w:val="6FE6275F"/>
    <w:rsid w:val="701E65CC"/>
    <w:rsid w:val="7025281E"/>
    <w:rsid w:val="704D37B0"/>
    <w:rsid w:val="70656D6E"/>
    <w:rsid w:val="70A9696F"/>
    <w:rsid w:val="70D21CA7"/>
    <w:rsid w:val="70EE2361"/>
    <w:rsid w:val="710D5C7E"/>
    <w:rsid w:val="71542477"/>
    <w:rsid w:val="717E4DC0"/>
    <w:rsid w:val="718D3139"/>
    <w:rsid w:val="71A5028E"/>
    <w:rsid w:val="71A94D21"/>
    <w:rsid w:val="71B47D75"/>
    <w:rsid w:val="71F57707"/>
    <w:rsid w:val="721B0F09"/>
    <w:rsid w:val="722872EA"/>
    <w:rsid w:val="722A5871"/>
    <w:rsid w:val="72380732"/>
    <w:rsid w:val="7294592D"/>
    <w:rsid w:val="72CF1FA9"/>
    <w:rsid w:val="733076AC"/>
    <w:rsid w:val="73553021"/>
    <w:rsid w:val="73942A81"/>
    <w:rsid w:val="73B2211D"/>
    <w:rsid w:val="740C2454"/>
    <w:rsid w:val="742357CA"/>
    <w:rsid w:val="744046F5"/>
    <w:rsid w:val="7454322F"/>
    <w:rsid w:val="748B0F7C"/>
    <w:rsid w:val="74C83EFE"/>
    <w:rsid w:val="74D06866"/>
    <w:rsid w:val="7576073E"/>
    <w:rsid w:val="75AF0759"/>
    <w:rsid w:val="75C21C33"/>
    <w:rsid w:val="75CF0B19"/>
    <w:rsid w:val="76740567"/>
    <w:rsid w:val="771E7E5D"/>
    <w:rsid w:val="778C7E95"/>
    <w:rsid w:val="77B04D74"/>
    <w:rsid w:val="77B82502"/>
    <w:rsid w:val="77F61B3B"/>
    <w:rsid w:val="7839277E"/>
    <w:rsid w:val="784526AC"/>
    <w:rsid w:val="7859274D"/>
    <w:rsid w:val="78906BD1"/>
    <w:rsid w:val="78910F51"/>
    <w:rsid w:val="789A420D"/>
    <w:rsid w:val="78AD45D7"/>
    <w:rsid w:val="78DE2878"/>
    <w:rsid w:val="798E0AF9"/>
    <w:rsid w:val="798F1B81"/>
    <w:rsid w:val="79A522AE"/>
    <w:rsid w:val="79D47118"/>
    <w:rsid w:val="79E9735F"/>
    <w:rsid w:val="79F515F9"/>
    <w:rsid w:val="7A4B7893"/>
    <w:rsid w:val="7A79053F"/>
    <w:rsid w:val="7A7F496A"/>
    <w:rsid w:val="7A844B1F"/>
    <w:rsid w:val="7AD27F7F"/>
    <w:rsid w:val="7AF447C6"/>
    <w:rsid w:val="7B4F7CE5"/>
    <w:rsid w:val="7B5F0286"/>
    <w:rsid w:val="7B8A039A"/>
    <w:rsid w:val="7BCA0FA9"/>
    <w:rsid w:val="7C381082"/>
    <w:rsid w:val="7C39566A"/>
    <w:rsid w:val="7C3D75B4"/>
    <w:rsid w:val="7C596C3E"/>
    <w:rsid w:val="7C8B1E49"/>
    <w:rsid w:val="7CBD56AD"/>
    <w:rsid w:val="7CCB706B"/>
    <w:rsid w:val="7D462911"/>
    <w:rsid w:val="7D545542"/>
    <w:rsid w:val="7D5E4497"/>
    <w:rsid w:val="7E7B673D"/>
    <w:rsid w:val="7EEA1495"/>
    <w:rsid w:val="7F210755"/>
    <w:rsid w:val="7F4F6913"/>
    <w:rsid w:val="7F906AF8"/>
    <w:rsid w:val="7FAF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7">
    <w:name w:val="标准文件_段"/>
    <w:qFormat/>
    <w:uiPriority w:val="0"/>
    <w:pPr>
      <w:ind w:firstLine="960" w:firstLineChars="200"/>
      <w:jc w:val="both"/>
    </w:pPr>
    <w:rPr>
      <w:rFonts w:hint="eastAsia" w:ascii="宋体" w:hAnsi="Times New Roman" w:eastAsia="宋体" w:cs="宋体"/>
      <w:sz w:val="21"/>
      <w:lang w:val="en-US" w:eastAsia="zh-CN" w:bidi="ar-SA"/>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
    <w:name w:val="标准文件_一级项"/>
    <w:qFormat/>
    <w:uiPriority w:val="0"/>
    <w:pPr>
      <w:numPr>
        <w:ilvl w:val="0"/>
        <w:numId w:val="1"/>
      </w:numPr>
    </w:pPr>
    <w:rPr>
      <w:rFonts w:ascii="宋体" w:hAnsi="Times New Roman" w:eastAsia="宋体" w:cs="Times New Roman"/>
      <w:sz w:val="21"/>
      <w:lang w:val="en-US" w:eastAsia="zh-CN" w:bidi="ar-SA"/>
    </w:rPr>
  </w:style>
  <w:style w:type="paragraph" w:customStyle="1" w:styleId="10">
    <w:name w:val="标准文件_表格"/>
    <w:basedOn w:val="7"/>
    <w:qFormat/>
    <w:uiPriority w:val="0"/>
    <w:pPr>
      <w:ind w:firstLine="0" w:firstLineChars="0"/>
      <w:jc w:val="center"/>
    </w:pPr>
    <w:rPr>
      <w:sz w:val="18"/>
    </w:rPr>
  </w:style>
  <w:style w:type="character" w:customStyle="1" w:styleId="11">
    <w:name w:val="页眉 字符"/>
    <w:basedOn w:val="6"/>
    <w:link w:val="3"/>
    <w:qFormat/>
    <w:uiPriority w:val="0"/>
    <w:rPr>
      <w:rFonts w:asciiTheme="minorHAnsi" w:hAnsiTheme="minorHAnsi" w:eastAsiaTheme="minorEastAsia" w:cstheme="minorBidi"/>
      <w:kern w:val="2"/>
      <w:sz w:val="18"/>
      <w:szCs w:val="18"/>
    </w:rPr>
  </w:style>
  <w:style w:type="character" w:customStyle="1" w:styleId="12">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1755</Words>
  <Characters>2019</Characters>
  <Lines>17</Lines>
  <Paragraphs>5</Paragraphs>
  <TotalTime>3</TotalTime>
  <ScaleCrop>false</ScaleCrop>
  <LinksUpToDate>false</LinksUpToDate>
  <CharactersWithSpaces>2040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2022-09-06T10:21:00Z</dcterms:created>
  <dc:creator>陈亚茹</dc:creator>
  <cp:lastModifiedBy>jiangshui</cp:lastModifiedBy>
  <dcterms:modified xsi:type="dcterms:W3CDTF">2024-11-19T08:11:40Z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B74CF2B72DE14CD98A42E07ADED89055_13</vt:lpwstr>
  </property>
</Properties>
</file>